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38DF9" w14:textId="77777777" w:rsidR="00113C5A" w:rsidRPr="00455A3C" w:rsidRDefault="00113C5A" w:rsidP="00F60A53">
      <w:pPr>
        <w:pStyle w:val="F2-zkladn"/>
        <w:spacing w:line="276" w:lineRule="auto"/>
        <w:rPr>
          <w:b/>
          <w:sz w:val="28"/>
          <w:szCs w:val="28"/>
        </w:rPr>
      </w:pPr>
    </w:p>
    <w:p w14:paraId="7FEA48D8" w14:textId="01EA9B8E" w:rsidR="00B123FF" w:rsidRPr="00455A3C" w:rsidRDefault="002E3325" w:rsidP="00F60A53">
      <w:pPr>
        <w:pStyle w:val="F2-zkladn"/>
        <w:spacing w:line="276" w:lineRule="auto"/>
        <w:rPr>
          <w:b/>
          <w:sz w:val="28"/>
          <w:szCs w:val="28"/>
        </w:rPr>
      </w:pPr>
      <w:bookmarkStart w:id="0" w:name="_Hlk104376839"/>
      <w:bookmarkEnd w:id="0"/>
      <w:r>
        <w:rPr>
          <w:b/>
          <w:sz w:val="28"/>
          <w:szCs w:val="28"/>
        </w:rPr>
        <w:t>ANALÝZA</w:t>
      </w:r>
    </w:p>
    <w:p w14:paraId="59F979EF" w14:textId="116E271E" w:rsidR="000A2833" w:rsidRPr="00455A3C" w:rsidRDefault="00E10832" w:rsidP="00F60A53">
      <w:pPr>
        <w:pStyle w:val="F2-zkladn"/>
        <w:spacing w:line="276" w:lineRule="auto"/>
        <w:rPr>
          <w:b/>
          <w:sz w:val="28"/>
          <w:szCs w:val="28"/>
        </w:rPr>
      </w:pPr>
      <w:r>
        <w:rPr>
          <w:noProof/>
        </w:rPr>
        <mc:AlternateContent>
          <mc:Choice Requires="wps">
            <w:drawing>
              <wp:inline distT="0" distB="0" distL="0" distR="0" wp14:anchorId="2BB0B2BF" wp14:editId="4F4E7F15">
                <wp:extent cx="301625" cy="301625"/>
                <wp:effectExtent l="0" t="0" r="0" b="0"/>
                <wp:docPr id="2" name="AutoShape 2" descr="Fidelity International">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DB3B5A"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p>
    <w:p w14:paraId="4EC0D461" w14:textId="0CEA9B1C" w:rsidR="000C727D" w:rsidRDefault="00E10832" w:rsidP="002027ED">
      <w:pPr>
        <w:pStyle w:val="F2-zkladn"/>
        <w:tabs>
          <w:tab w:val="right" w:pos="9070"/>
        </w:tabs>
        <w:spacing w:line="276" w:lineRule="auto"/>
      </w:pPr>
      <w:r>
        <w:rPr>
          <w:noProof/>
        </w:rPr>
        <mc:AlternateContent>
          <mc:Choice Requires="wps">
            <w:drawing>
              <wp:inline distT="0" distB="0" distL="0" distR="0" wp14:anchorId="2B2374B7" wp14:editId="76DE544F">
                <wp:extent cx="301625" cy="301625"/>
                <wp:effectExtent l="0" t="0" r="0" b="0"/>
                <wp:docPr id="1" name="AutoShape 5" descr="Fidelity International">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6D5BE9"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r w:rsidR="00DE3946" w:rsidRPr="00455A3C">
        <w:tab/>
        <w:t xml:space="preserve">Praha, </w:t>
      </w:r>
      <w:r w:rsidR="00102DF4">
        <w:t>2</w:t>
      </w:r>
      <w:r w:rsidR="00372ACE">
        <w:t>4</w:t>
      </w:r>
      <w:r w:rsidR="005420B4">
        <w:t>.</w:t>
      </w:r>
      <w:r w:rsidR="00F60A53">
        <w:t xml:space="preserve"> </w:t>
      </w:r>
      <w:r w:rsidR="009E05B6">
        <w:t>května</w:t>
      </w:r>
      <w:r w:rsidR="00A30105" w:rsidRPr="00455A3C">
        <w:t xml:space="preserve"> 20</w:t>
      </w:r>
      <w:r w:rsidR="00A7414F" w:rsidRPr="00455A3C">
        <w:t>2</w:t>
      </w:r>
      <w:r w:rsidR="000F274E">
        <w:t>3</w:t>
      </w:r>
    </w:p>
    <w:p w14:paraId="7EECF1EA" w14:textId="77777777" w:rsidR="002027ED" w:rsidRPr="002027ED" w:rsidRDefault="002027ED" w:rsidP="002027ED">
      <w:pPr>
        <w:pStyle w:val="F2-zkladn"/>
        <w:tabs>
          <w:tab w:val="right" w:pos="9070"/>
        </w:tabs>
        <w:spacing w:line="276" w:lineRule="auto"/>
      </w:pPr>
    </w:p>
    <w:p w14:paraId="1F405B0B" w14:textId="5455D1A1" w:rsidR="006B6F61" w:rsidRPr="00A01EEF" w:rsidRDefault="00904CA9" w:rsidP="006B6F61">
      <w:pPr>
        <w:pStyle w:val="paragraph"/>
        <w:spacing w:before="0" w:beforeAutospacing="0" w:after="0" w:afterAutospacing="0"/>
        <w:textAlignment w:val="baseline"/>
        <w:rPr>
          <w:rFonts w:ascii="Arial" w:hAnsi="Arial" w:cs="Arial"/>
          <w:b/>
          <w:bCs/>
          <w:color w:val="000000"/>
          <w:sz w:val="28"/>
          <w:szCs w:val="28"/>
          <w:lang w:val="cs-CZ"/>
        </w:rPr>
      </w:pPr>
      <w:r w:rsidRPr="00A01EEF">
        <w:rPr>
          <w:rStyle w:val="normaltextrun"/>
          <w:rFonts w:ascii="Arial" w:hAnsi="Arial" w:cs="Arial"/>
          <w:b/>
          <w:bCs/>
          <w:color w:val="000000"/>
          <w:sz w:val="28"/>
          <w:szCs w:val="28"/>
          <w:lang w:val="cs-CZ"/>
        </w:rPr>
        <w:t>Fidelity International</w:t>
      </w:r>
      <w:r w:rsidR="00694CCF">
        <w:rPr>
          <w:rStyle w:val="normaltextrun"/>
          <w:rFonts w:ascii="Arial" w:hAnsi="Arial" w:cs="Arial"/>
          <w:b/>
          <w:bCs/>
          <w:color w:val="000000"/>
          <w:sz w:val="28"/>
          <w:szCs w:val="28"/>
          <w:lang w:val="cs-CZ"/>
        </w:rPr>
        <w:t xml:space="preserve">: </w:t>
      </w:r>
      <w:r w:rsidR="00102DF4">
        <w:rPr>
          <w:rStyle w:val="normaltextrun"/>
          <w:rFonts w:ascii="Arial" w:hAnsi="Arial" w:cs="Arial"/>
          <w:b/>
          <w:bCs/>
          <w:color w:val="000000"/>
          <w:sz w:val="28"/>
          <w:szCs w:val="28"/>
          <w:lang w:val="cs-CZ"/>
        </w:rPr>
        <w:t>Čína + 1 = ASEAN: vítězný vzorec</w:t>
      </w:r>
    </w:p>
    <w:p w14:paraId="2AF5B732" w14:textId="77777777" w:rsidR="006B6F61" w:rsidRDefault="006B6F61" w:rsidP="006B6F61">
      <w:pPr>
        <w:pStyle w:val="paragraph"/>
        <w:spacing w:before="0" w:beforeAutospacing="0" w:after="0" w:afterAutospacing="0"/>
        <w:textAlignment w:val="baseline"/>
        <w:rPr>
          <w:rFonts w:asciiTheme="minorHAnsi" w:eastAsiaTheme="minorHAnsi" w:hAnsiTheme="minorHAnsi" w:cstheme="minorBidi"/>
          <w:b/>
          <w:lang w:val="cs-CZ" w:eastAsia="en-US"/>
        </w:rPr>
      </w:pPr>
    </w:p>
    <w:p w14:paraId="77D98D0A" w14:textId="5ACC86AF" w:rsidR="006B6F61" w:rsidRDefault="00102DF4" w:rsidP="002027ED">
      <w:pPr>
        <w:pStyle w:val="paragraph"/>
        <w:spacing w:before="0" w:beforeAutospacing="0" w:after="0" w:afterAutospacing="0"/>
        <w:jc w:val="both"/>
        <w:textAlignment w:val="baseline"/>
        <w:rPr>
          <w:rFonts w:asciiTheme="minorHAnsi" w:eastAsiaTheme="minorHAnsi" w:hAnsiTheme="minorHAnsi" w:cstheme="minorBidi"/>
          <w:b/>
          <w:lang w:val="cs-CZ" w:eastAsia="en-US"/>
        </w:rPr>
      </w:pPr>
      <w:r>
        <w:rPr>
          <w:rFonts w:asciiTheme="minorHAnsi" w:eastAsiaTheme="minorHAnsi" w:hAnsiTheme="minorHAnsi" w:cstheme="minorBidi"/>
          <w:b/>
          <w:lang w:val="cs-CZ" w:eastAsia="en-US"/>
        </w:rPr>
        <w:t>Pandemie, válka a rostoucí geopolitické napětí přiměly nadnárodní firmy přehodnotit své globální dodavatelské řetězce. S rostoucím počtem plánů na relokaci se region ASEAN ocitl mezi těmi oblastmi, které mají nejlepší předpoklady k tomu, aby absorbovaly přesunuté businessy.</w:t>
      </w:r>
    </w:p>
    <w:p w14:paraId="171FA3C7" w14:textId="77777777" w:rsidR="002C1698" w:rsidRPr="002C1698" w:rsidRDefault="006B6F61" w:rsidP="002C1698">
      <w:pPr>
        <w:pStyle w:val="paragraph"/>
        <w:spacing w:before="0" w:beforeAutospacing="0" w:after="0" w:afterAutospacing="0"/>
        <w:jc w:val="both"/>
        <w:textAlignment w:val="baseline"/>
        <w:rPr>
          <w:rFonts w:ascii="Arial" w:hAnsi="Arial" w:cs="Arial"/>
          <w:sz w:val="20"/>
          <w:szCs w:val="20"/>
          <w:lang w:val="cs-CZ" w:eastAsia="cs-CZ"/>
        </w:rPr>
      </w:pPr>
      <w:r w:rsidRPr="002C1698">
        <w:rPr>
          <w:rFonts w:ascii="Arial" w:hAnsi="Arial" w:cs="Arial"/>
          <w:sz w:val="20"/>
          <w:szCs w:val="20"/>
          <w:lang w:val="cs-CZ" w:eastAsia="cs-CZ"/>
        </w:rPr>
        <w:t> </w:t>
      </w:r>
    </w:p>
    <w:p w14:paraId="14FF7054" w14:textId="68A89899" w:rsidR="002C5176" w:rsidRDefault="00102DF4" w:rsidP="00102DF4">
      <w:pPr>
        <w:pStyle w:val="paragraph"/>
        <w:spacing w:before="0" w:beforeAutospacing="0" w:after="0" w:afterAutospacing="0" w:line="276" w:lineRule="auto"/>
        <w:jc w:val="both"/>
        <w:textAlignment w:val="baseline"/>
        <w:rPr>
          <w:rFonts w:ascii="Arial" w:hAnsi="Arial" w:cs="Arial"/>
          <w:sz w:val="20"/>
          <w:szCs w:val="20"/>
          <w:lang w:val="cs-CZ" w:eastAsia="cs-CZ"/>
        </w:rPr>
      </w:pPr>
      <w:r>
        <w:rPr>
          <w:rFonts w:ascii="Arial" w:hAnsi="Arial" w:cs="Arial"/>
          <w:sz w:val="20"/>
          <w:szCs w:val="20"/>
          <w:lang w:val="cs-CZ" w:eastAsia="cs-CZ"/>
        </w:rPr>
        <w:t>BOE Technology, pekingský dodavatel elektronických displejů pro světové výrobce chytrých telefonů, plánuje investovat stovky milionů dolarů do nových továren ve Vietnamu. BOE tak následuje své největší klienty: Samsung pokračuje v expanzi ve Vietnamu, kde již vyrábí přibližně polovina jeho chytrých telefonů pro světové trhy. Podobně Apple, další klient BOE, zase údajně plánuje vyrábět MacBooky v Thajsku.</w:t>
      </w:r>
    </w:p>
    <w:p w14:paraId="55D2C629" w14:textId="77777777" w:rsidR="00102DF4" w:rsidRDefault="00102DF4" w:rsidP="002C5176">
      <w:pPr>
        <w:pStyle w:val="paragraph"/>
        <w:spacing w:before="0" w:beforeAutospacing="0" w:after="0" w:afterAutospacing="0" w:line="276" w:lineRule="auto"/>
        <w:jc w:val="both"/>
        <w:textAlignment w:val="baseline"/>
        <w:rPr>
          <w:rFonts w:ascii="Arial" w:hAnsi="Arial" w:cs="Arial"/>
          <w:sz w:val="20"/>
          <w:szCs w:val="20"/>
          <w:lang w:val="cs-CZ" w:eastAsia="cs-CZ"/>
        </w:rPr>
      </w:pPr>
    </w:p>
    <w:p w14:paraId="7D0CA758" w14:textId="732DD88B" w:rsidR="00102DF4" w:rsidRDefault="00102DF4" w:rsidP="00102DF4">
      <w:pPr>
        <w:pStyle w:val="paragraph"/>
        <w:spacing w:before="0" w:beforeAutospacing="0" w:after="0" w:afterAutospacing="0" w:line="276" w:lineRule="auto"/>
        <w:jc w:val="both"/>
        <w:textAlignment w:val="baseline"/>
        <w:rPr>
          <w:rFonts w:ascii="Arial" w:hAnsi="Arial" w:cs="Arial"/>
          <w:sz w:val="20"/>
          <w:szCs w:val="20"/>
          <w:lang w:val="cs-CZ" w:eastAsia="cs-CZ"/>
        </w:rPr>
      </w:pPr>
      <w:r w:rsidRPr="00102DF4">
        <w:rPr>
          <w:rFonts w:ascii="Arial" w:hAnsi="Arial" w:cs="Arial"/>
          <w:sz w:val="20"/>
          <w:szCs w:val="20"/>
          <w:lang w:val="cs-CZ" w:eastAsia="cs-CZ"/>
        </w:rPr>
        <w:t>Zatímco Čína je stále globální výrobní velmocí, stále více společností zkoumá jihovýchodní Asii a desetičlenný blok ASEAN (zkratka pro Sdružení národů jihovýchodní Asie), protože sledují strategii "Čína plus jedna", aby diverzifikovaly rizika svého dodavatelského řetězce tím, že přesunou část výroby.</w:t>
      </w:r>
      <w:r w:rsidRPr="00102DF4">
        <w:rPr>
          <w:rFonts w:ascii="Arial" w:hAnsi="Arial" w:cs="Arial"/>
          <w:sz w:val="20"/>
          <w:szCs w:val="20"/>
          <w:lang w:val="cs-CZ" w:eastAsia="cs-CZ"/>
        </w:rPr>
        <w:br/>
      </w:r>
    </w:p>
    <w:p w14:paraId="49FD91F9" w14:textId="677F4063" w:rsidR="00102DF4" w:rsidRPr="00AC587E" w:rsidRDefault="00102DF4" w:rsidP="00102DF4">
      <w:pPr>
        <w:pStyle w:val="paragraph"/>
        <w:spacing w:before="0" w:beforeAutospacing="0" w:after="0" w:afterAutospacing="0" w:line="276" w:lineRule="auto"/>
        <w:jc w:val="both"/>
        <w:textAlignment w:val="baseline"/>
        <w:rPr>
          <w:rFonts w:ascii="Arial" w:eastAsiaTheme="minorHAnsi" w:hAnsi="Arial" w:cs="Arial"/>
          <w:b/>
          <w:sz w:val="20"/>
          <w:szCs w:val="20"/>
          <w:lang w:val="cs-CZ" w:eastAsia="en-US"/>
        </w:rPr>
      </w:pPr>
      <w:r>
        <w:rPr>
          <w:rFonts w:ascii="Arial" w:eastAsiaTheme="minorHAnsi" w:hAnsi="Arial" w:cs="Arial"/>
          <w:b/>
          <w:sz w:val="20"/>
          <w:szCs w:val="20"/>
          <w:lang w:val="cs-CZ" w:eastAsia="en-US"/>
        </w:rPr>
        <w:t>Síla na vzestupu</w:t>
      </w:r>
    </w:p>
    <w:p w14:paraId="59C5532A" w14:textId="2AAE807B" w:rsidR="00102DF4" w:rsidRDefault="00102DF4" w:rsidP="00102DF4">
      <w:pPr>
        <w:spacing w:line="276" w:lineRule="auto"/>
      </w:pPr>
      <w:r w:rsidRPr="00102DF4">
        <w:t>Pokud bychom na ASEAN pohlíželi jako na stát, byl by po Indii a Číně třetím nejlidnatějším státem na světě. Na rozdíl od Číny a Japonska, kde počet obyvatel zřejmě dosáhl svého vrcholu, je populace ASEANu mladá a rostoucí, což s sebou přináší ekonomický přínos. Záviděníhodný průměrný věk 30 let v regionu je srovnatelný s 39 lety v Číně, 49 lety v Japonsku, 38 lety v USA a 42 lety v Evropě. Rychle rostoucí střední třída v ASEAN zvyšuje spotřebu a HDP na obyvatele ve většině zemí regionu poroste podle prognóz do roku 2030 o 3 až 4 % ročně.</w:t>
      </w:r>
    </w:p>
    <w:p w14:paraId="212C85BF" w14:textId="77777777" w:rsidR="00102DF4" w:rsidRDefault="00102DF4" w:rsidP="00102DF4">
      <w:pPr>
        <w:pStyle w:val="F2-zkladn"/>
      </w:pPr>
    </w:p>
    <w:p w14:paraId="435C461C" w14:textId="77777777" w:rsidR="00102DF4" w:rsidRDefault="00102DF4" w:rsidP="00102DF4">
      <w:pPr>
        <w:pStyle w:val="F2-zkladn"/>
      </w:pPr>
    </w:p>
    <w:p w14:paraId="3372AA6C" w14:textId="77777777" w:rsidR="00102DF4" w:rsidRDefault="00102DF4" w:rsidP="00102DF4">
      <w:pPr>
        <w:pStyle w:val="F2-zkladn"/>
      </w:pPr>
    </w:p>
    <w:p w14:paraId="228D56D7" w14:textId="77777777" w:rsidR="00102DF4" w:rsidRDefault="00102DF4" w:rsidP="00102DF4">
      <w:pPr>
        <w:pStyle w:val="F2-zkladn"/>
      </w:pPr>
    </w:p>
    <w:p w14:paraId="4C2B6401" w14:textId="77777777" w:rsidR="00102DF4" w:rsidRDefault="00102DF4" w:rsidP="00102DF4">
      <w:pPr>
        <w:pStyle w:val="F2-zkladn"/>
      </w:pPr>
    </w:p>
    <w:p w14:paraId="4E547057" w14:textId="77777777" w:rsidR="00102DF4" w:rsidRDefault="00102DF4" w:rsidP="00102DF4">
      <w:pPr>
        <w:pStyle w:val="F2-zkladn"/>
      </w:pPr>
    </w:p>
    <w:p w14:paraId="32BD47E1" w14:textId="77777777" w:rsidR="00102DF4" w:rsidRPr="00102DF4" w:rsidRDefault="00102DF4" w:rsidP="00102DF4">
      <w:pPr>
        <w:pStyle w:val="F2-zkladn"/>
      </w:pPr>
    </w:p>
    <w:p w14:paraId="55806FDB" w14:textId="77777777" w:rsidR="00F701B3" w:rsidRDefault="00F701B3" w:rsidP="002C5176">
      <w:pPr>
        <w:pStyle w:val="paragraph"/>
        <w:spacing w:before="0" w:beforeAutospacing="0" w:after="0" w:afterAutospacing="0" w:line="276" w:lineRule="auto"/>
        <w:jc w:val="both"/>
        <w:textAlignment w:val="baseline"/>
        <w:rPr>
          <w:rFonts w:ascii="Arial" w:hAnsi="Arial" w:cs="Arial"/>
          <w:sz w:val="20"/>
          <w:szCs w:val="20"/>
          <w:lang w:val="cs-CZ" w:eastAsia="cs-CZ"/>
        </w:rPr>
      </w:pPr>
    </w:p>
    <w:p w14:paraId="09188720" w14:textId="61568225" w:rsidR="00F701B3" w:rsidRPr="00AC587E" w:rsidRDefault="00750405" w:rsidP="002C5176">
      <w:pPr>
        <w:pStyle w:val="paragraph"/>
        <w:spacing w:before="0" w:beforeAutospacing="0" w:after="0" w:afterAutospacing="0" w:line="276" w:lineRule="auto"/>
        <w:jc w:val="both"/>
        <w:textAlignment w:val="baseline"/>
        <w:rPr>
          <w:rFonts w:ascii="Arial" w:eastAsiaTheme="minorHAnsi" w:hAnsi="Arial" w:cs="Arial"/>
          <w:b/>
          <w:sz w:val="20"/>
          <w:szCs w:val="20"/>
          <w:lang w:val="cs-CZ" w:eastAsia="en-US"/>
        </w:rPr>
      </w:pPr>
      <w:r>
        <w:rPr>
          <w:rFonts w:ascii="Arial" w:eastAsiaTheme="minorHAnsi" w:hAnsi="Arial" w:cs="Arial"/>
          <w:b/>
          <w:sz w:val="20"/>
          <w:szCs w:val="20"/>
          <w:lang w:val="cs-CZ" w:eastAsia="en-US"/>
        </w:rPr>
        <w:lastRenderedPageBreak/>
        <w:t>Graf</w:t>
      </w:r>
      <w:r w:rsidR="00102DF4">
        <w:rPr>
          <w:rFonts w:ascii="Arial" w:eastAsiaTheme="minorHAnsi" w:hAnsi="Arial" w:cs="Arial"/>
          <w:b/>
          <w:sz w:val="20"/>
          <w:szCs w:val="20"/>
          <w:lang w:val="cs-CZ" w:eastAsia="en-US"/>
        </w:rPr>
        <w:t xml:space="preserve"> 1</w:t>
      </w:r>
      <w:r>
        <w:rPr>
          <w:rFonts w:ascii="Arial" w:eastAsiaTheme="minorHAnsi" w:hAnsi="Arial" w:cs="Arial"/>
          <w:b/>
          <w:sz w:val="20"/>
          <w:szCs w:val="20"/>
          <w:lang w:val="cs-CZ" w:eastAsia="en-US"/>
        </w:rPr>
        <w:t xml:space="preserve">: </w:t>
      </w:r>
      <w:r w:rsidR="00102DF4">
        <w:rPr>
          <w:rFonts w:ascii="Arial" w:eastAsiaTheme="minorHAnsi" w:hAnsi="Arial" w:cs="Arial"/>
          <w:b/>
          <w:sz w:val="20"/>
          <w:szCs w:val="20"/>
          <w:lang w:val="cs-CZ" w:eastAsia="en-US"/>
        </w:rPr>
        <w:t>ASEAN a Indie jsou v čele populačního růstu</w:t>
      </w:r>
    </w:p>
    <w:p w14:paraId="44B3CA6B" w14:textId="0EF2E6A1" w:rsidR="009E05B6" w:rsidRDefault="00102DF4" w:rsidP="002C5176">
      <w:pPr>
        <w:pStyle w:val="paragraph"/>
        <w:spacing w:before="0" w:beforeAutospacing="0" w:after="0" w:afterAutospacing="0" w:line="276" w:lineRule="auto"/>
        <w:jc w:val="both"/>
        <w:textAlignment w:val="baseline"/>
        <w:rPr>
          <w:rFonts w:ascii="Arial" w:hAnsi="Arial" w:cs="Arial"/>
          <w:sz w:val="20"/>
          <w:szCs w:val="20"/>
          <w:lang w:val="cs-CZ" w:eastAsia="cs-CZ"/>
        </w:rPr>
      </w:pPr>
      <w:r w:rsidRPr="009F7D8B">
        <w:rPr>
          <w:noProof/>
        </w:rPr>
        <w:drawing>
          <wp:inline distT="0" distB="0" distL="0" distR="0" wp14:anchorId="17865933" wp14:editId="059A4AD5">
            <wp:extent cx="5759450" cy="2519125"/>
            <wp:effectExtent l="0" t="0" r="0" b="0"/>
            <wp:docPr id="129057083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570838" name=""/>
                    <pic:cNvPicPr/>
                  </pic:nvPicPr>
                  <pic:blipFill>
                    <a:blip r:embed="rId12"/>
                    <a:stretch>
                      <a:fillRect/>
                    </a:stretch>
                  </pic:blipFill>
                  <pic:spPr>
                    <a:xfrm>
                      <a:off x="0" y="0"/>
                      <a:ext cx="5759450" cy="2519125"/>
                    </a:xfrm>
                    <a:prstGeom prst="rect">
                      <a:avLst/>
                    </a:prstGeom>
                  </pic:spPr>
                </pic:pic>
              </a:graphicData>
            </a:graphic>
          </wp:inline>
        </w:drawing>
      </w:r>
    </w:p>
    <w:p w14:paraId="0CF3C6CC" w14:textId="227B5623" w:rsidR="00AC587E" w:rsidRDefault="00AC587E" w:rsidP="002C5176">
      <w:pPr>
        <w:pStyle w:val="paragraph"/>
        <w:spacing w:before="0" w:beforeAutospacing="0" w:after="0" w:afterAutospacing="0" w:line="276" w:lineRule="auto"/>
        <w:jc w:val="both"/>
        <w:textAlignment w:val="baseline"/>
        <w:rPr>
          <w:rFonts w:ascii="Arial" w:hAnsi="Arial" w:cs="Arial"/>
          <w:sz w:val="20"/>
          <w:szCs w:val="20"/>
          <w:lang w:val="cs-CZ" w:eastAsia="cs-CZ"/>
        </w:rPr>
      </w:pPr>
    </w:p>
    <w:p w14:paraId="0542B922" w14:textId="77777777" w:rsidR="00102DF4" w:rsidRPr="008A114F" w:rsidRDefault="00102DF4" w:rsidP="00102DF4">
      <w:pPr>
        <w:jc w:val="right"/>
        <w:rPr>
          <w:i/>
          <w:iCs/>
          <w:sz w:val="18"/>
          <w:szCs w:val="18"/>
        </w:rPr>
      </w:pPr>
      <w:r w:rsidRPr="008A114F">
        <w:rPr>
          <w:i/>
          <w:iCs/>
          <w:sz w:val="18"/>
          <w:szCs w:val="18"/>
        </w:rPr>
        <w:t>Zdroj: The World Bank, Fidelity International, květen 2023.</w:t>
      </w:r>
    </w:p>
    <w:p w14:paraId="50C926B9" w14:textId="77777777" w:rsidR="008A114F" w:rsidRDefault="008A114F" w:rsidP="00C54452">
      <w:pPr>
        <w:pStyle w:val="paragraph"/>
        <w:spacing w:before="0" w:beforeAutospacing="0" w:after="0" w:afterAutospacing="0" w:line="276" w:lineRule="auto"/>
        <w:jc w:val="both"/>
        <w:textAlignment w:val="baseline"/>
        <w:rPr>
          <w:rFonts w:ascii="Arial" w:hAnsi="Arial" w:cs="Arial"/>
          <w:sz w:val="20"/>
          <w:szCs w:val="20"/>
          <w:lang w:val="cs-CZ" w:eastAsia="cs-CZ"/>
        </w:rPr>
      </w:pPr>
    </w:p>
    <w:p w14:paraId="1331AE79" w14:textId="77777777" w:rsidR="008A114F" w:rsidRPr="008A114F" w:rsidRDefault="008A114F" w:rsidP="008A114F">
      <w:pPr>
        <w:spacing w:line="276" w:lineRule="auto"/>
      </w:pPr>
      <w:r w:rsidRPr="008A114F">
        <w:t xml:space="preserve">Zatímco se nadnárodní firmy rozvětvují do jihovýchodní Asie, my si myslíme, že globální investoři mohou také těžit z diverzifikace své expozice do tohoto regionu rozvíjejících se trhů, kde je slušný růst a férové ocenění. Obecně v globálních fondech jsou tendence podvážit ASEAN vzhledem k jeho ekonomickému vlivu, což naznačuje dostatečný prostor v budoucnu k ovlivňování akciových trhů a trhů s pevným výnosem v tomto regionu. </w:t>
      </w:r>
    </w:p>
    <w:p w14:paraId="495B3AA5" w14:textId="77777777" w:rsidR="008A114F" w:rsidRDefault="008A114F" w:rsidP="008A114F">
      <w:pPr>
        <w:pStyle w:val="paragraph"/>
        <w:spacing w:before="0" w:beforeAutospacing="0" w:after="0" w:afterAutospacing="0" w:line="276" w:lineRule="auto"/>
        <w:jc w:val="both"/>
        <w:textAlignment w:val="baseline"/>
        <w:rPr>
          <w:rFonts w:ascii="Arial" w:eastAsiaTheme="minorHAnsi" w:hAnsi="Arial" w:cs="Arial"/>
          <w:b/>
          <w:sz w:val="20"/>
          <w:szCs w:val="20"/>
          <w:lang w:val="cs-CZ" w:eastAsia="en-US"/>
        </w:rPr>
      </w:pPr>
    </w:p>
    <w:p w14:paraId="5BE73D11" w14:textId="0CDFF92C" w:rsidR="008A114F" w:rsidRPr="008A114F" w:rsidRDefault="008A114F" w:rsidP="008A114F">
      <w:pPr>
        <w:pStyle w:val="paragraph"/>
        <w:spacing w:before="0" w:beforeAutospacing="0" w:after="0" w:afterAutospacing="0" w:line="276" w:lineRule="auto"/>
        <w:jc w:val="both"/>
        <w:textAlignment w:val="baseline"/>
        <w:rPr>
          <w:rFonts w:ascii="Arial" w:eastAsiaTheme="minorHAnsi" w:hAnsi="Arial" w:cs="Arial"/>
          <w:b/>
          <w:sz w:val="20"/>
          <w:szCs w:val="20"/>
          <w:lang w:val="cs-CZ" w:eastAsia="en-US"/>
        </w:rPr>
      </w:pPr>
      <w:r>
        <w:rPr>
          <w:rFonts w:ascii="Arial" w:eastAsiaTheme="minorHAnsi" w:hAnsi="Arial" w:cs="Arial"/>
          <w:b/>
          <w:sz w:val="20"/>
          <w:szCs w:val="20"/>
          <w:lang w:val="cs-CZ" w:eastAsia="en-US"/>
        </w:rPr>
        <w:t>Rozšíření výroby</w:t>
      </w:r>
    </w:p>
    <w:p w14:paraId="0E3126AD" w14:textId="77777777" w:rsidR="008A114F" w:rsidRDefault="008A114F" w:rsidP="008A114F">
      <w:pPr>
        <w:spacing w:after="210" w:line="276" w:lineRule="auto"/>
      </w:pPr>
      <w:r w:rsidRPr="008A114F">
        <w:t xml:space="preserve">Pandemie covid-19 a obchodní napětí mezi Čínou a USA odhalily křehkost dodavatelských řetězců, které se příliš spoléhají na globalizaci a postupy just-in-time. Ruská invaze na Ukrajinu rovněž narušila dodávky mnoha klíčových komodit a oslabila globální logistické sítě. Tyto faktory urychlily přeskupení globálních dodavatelských řetězců. </w:t>
      </w:r>
    </w:p>
    <w:p w14:paraId="2FE86ABF" w14:textId="77777777" w:rsidR="008A114F" w:rsidRDefault="008A114F" w:rsidP="008A114F">
      <w:pPr>
        <w:spacing w:after="210" w:line="276" w:lineRule="auto"/>
      </w:pPr>
      <w:r w:rsidRPr="008A114F">
        <w:t>Vzhledem k tomu, že relokace výrobních kapacit nabírá na obrátkách, jihovýchodní Asie v posledních několika letech dohnala Čínu v oblasti přímých zahraničních investic a stala se jednou ze dvou hlavních asijských destinací pro příliv investic.</w:t>
      </w:r>
    </w:p>
    <w:p w14:paraId="5B1F50A2" w14:textId="77777777" w:rsidR="008A114F" w:rsidRDefault="008A114F" w:rsidP="008A114F">
      <w:pPr>
        <w:pStyle w:val="F2-zkladn"/>
      </w:pPr>
    </w:p>
    <w:p w14:paraId="560970F4" w14:textId="77777777" w:rsidR="008A114F" w:rsidRDefault="008A114F" w:rsidP="008A114F">
      <w:pPr>
        <w:pStyle w:val="F2-zkladn"/>
      </w:pPr>
    </w:p>
    <w:p w14:paraId="66243B26" w14:textId="77777777" w:rsidR="008A114F" w:rsidRDefault="008A114F" w:rsidP="008A114F">
      <w:pPr>
        <w:pStyle w:val="F2-zkladn"/>
      </w:pPr>
    </w:p>
    <w:p w14:paraId="2A348A37" w14:textId="77777777" w:rsidR="008A114F" w:rsidRDefault="008A114F" w:rsidP="008A114F">
      <w:pPr>
        <w:pStyle w:val="F2-zkladn"/>
      </w:pPr>
    </w:p>
    <w:p w14:paraId="75AA073C" w14:textId="77777777" w:rsidR="008A114F" w:rsidRDefault="008A114F" w:rsidP="008A114F">
      <w:pPr>
        <w:pStyle w:val="F2-zkladn"/>
      </w:pPr>
    </w:p>
    <w:p w14:paraId="579F5FCC" w14:textId="77777777" w:rsidR="008A114F" w:rsidRDefault="008A114F" w:rsidP="008A114F">
      <w:pPr>
        <w:pStyle w:val="F2-zkladn"/>
      </w:pPr>
    </w:p>
    <w:p w14:paraId="4614644C" w14:textId="77777777" w:rsidR="008A114F" w:rsidRDefault="008A114F" w:rsidP="008A114F">
      <w:pPr>
        <w:pStyle w:val="F2-zkladn"/>
      </w:pPr>
    </w:p>
    <w:p w14:paraId="3C3555EC" w14:textId="77777777" w:rsidR="008A114F" w:rsidRPr="008A114F" w:rsidRDefault="008A114F" w:rsidP="008A114F">
      <w:pPr>
        <w:pStyle w:val="F2-zkladn"/>
      </w:pPr>
    </w:p>
    <w:p w14:paraId="33E1B128" w14:textId="3CF04C27" w:rsidR="008A114F" w:rsidRDefault="008A114F" w:rsidP="008A114F">
      <w:pPr>
        <w:pStyle w:val="paragraph"/>
        <w:spacing w:before="0" w:beforeAutospacing="0" w:after="0" w:afterAutospacing="0" w:line="276" w:lineRule="auto"/>
        <w:jc w:val="both"/>
        <w:textAlignment w:val="baseline"/>
        <w:rPr>
          <w:rFonts w:ascii="Arial" w:eastAsiaTheme="minorHAnsi" w:hAnsi="Arial" w:cs="Arial"/>
          <w:b/>
          <w:sz w:val="20"/>
          <w:szCs w:val="20"/>
          <w:lang w:val="cs-CZ" w:eastAsia="en-US"/>
        </w:rPr>
      </w:pPr>
      <w:r>
        <w:rPr>
          <w:rFonts w:ascii="Arial" w:eastAsiaTheme="minorHAnsi" w:hAnsi="Arial" w:cs="Arial"/>
          <w:b/>
          <w:sz w:val="20"/>
          <w:szCs w:val="20"/>
          <w:lang w:val="cs-CZ" w:eastAsia="en-US"/>
        </w:rPr>
        <w:t>Graf 2: ASEAN dohání Čínu v přílivu přímých zahraničních investic</w:t>
      </w:r>
    </w:p>
    <w:p w14:paraId="3A8E5F38" w14:textId="77777777" w:rsidR="008A114F" w:rsidRDefault="008A114F" w:rsidP="008A114F">
      <w:pPr>
        <w:pStyle w:val="paragraph"/>
        <w:spacing w:before="0" w:beforeAutospacing="0" w:after="0" w:afterAutospacing="0" w:line="276" w:lineRule="auto"/>
        <w:jc w:val="both"/>
        <w:textAlignment w:val="baseline"/>
        <w:rPr>
          <w:rFonts w:ascii="Arial" w:eastAsiaTheme="minorHAnsi" w:hAnsi="Arial" w:cs="Arial"/>
          <w:b/>
          <w:sz w:val="20"/>
          <w:szCs w:val="20"/>
          <w:lang w:val="cs-CZ" w:eastAsia="en-US"/>
        </w:rPr>
      </w:pPr>
    </w:p>
    <w:p w14:paraId="11B6E50F" w14:textId="307E1C49" w:rsidR="008A114F" w:rsidRPr="008A114F" w:rsidRDefault="008A114F" w:rsidP="008A114F">
      <w:pPr>
        <w:pStyle w:val="paragraph"/>
        <w:spacing w:before="0" w:beforeAutospacing="0" w:after="0" w:afterAutospacing="0" w:line="276" w:lineRule="auto"/>
        <w:jc w:val="both"/>
        <w:textAlignment w:val="baseline"/>
        <w:rPr>
          <w:rFonts w:ascii="Arial" w:eastAsiaTheme="minorHAnsi" w:hAnsi="Arial" w:cs="Arial"/>
          <w:b/>
          <w:sz w:val="20"/>
          <w:szCs w:val="20"/>
          <w:lang w:val="cs-CZ" w:eastAsia="en-US"/>
        </w:rPr>
      </w:pPr>
      <w:r w:rsidRPr="009F7D8B">
        <w:rPr>
          <w:b/>
          <w:bCs/>
          <w:noProof/>
        </w:rPr>
        <w:drawing>
          <wp:inline distT="0" distB="0" distL="0" distR="0" wp14:anchorId="710FF0F6" wp14:editId="5600617E">
            <wp:extent cx="5759450" cy="2362949"/>
            <wp:effectExtent l="0" t="0" r="0" b="0"/>
            <wp:docPr id="116458556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585568" name=""/>
                    <pic:cNvPicPr/>
                  </pic:nvPicPr>
                  <pic:blipFill>
                    <a:blip r:embed="rId13"/>
                    <a:stretch>
                      <a:fillRect/>
                    </a:stretch>
                  </pic:blipFill>
                  <pic:spPr>
                    <a:xfrm>
                      <a:off x="0" y="0"/>
                      <a:ext cx="5759450" cy="2362949"/>
                    </a:xfrm>
                    <a:prstGeom prst="rect">
                      <a:avLst/>
                    </a:prstGeom>
                  </pic:spPr>
                </pic:pic>
              </a:graphicData>
            </a:graphic>
          </wp:inline>
        </w:drawing>
      </w:r>
    </w:p>
    <w:p w14:paraId="723BF1E1" w14:textId="4A4100E6" w:rsidR="008A114F" w:rsidRPr="008A114F" w:rsidRDefault="008A114F" w:rsidP="008A114F">
      <w:pPr>
        <w:jc w:val="right"/>
        <w:rPr>
          <w:i/>
          <w:iCs/>
          <w:sz w:val="18"/>
          <w:szCs w:val="18"/>
        </w:rPr>
      </w:pPr>
      <w:r w:rsidRPr="008A114F">
        <w:rPr>
          <w:i/>
          <w:iCs/>
          <w:sz w:val="18"/>
          <w:szCs w:val="18"/>
        </w:rPr>
        <w:t>Zdroj: Konference OSN o obchodu a rozvoji, sekretariát ASEAN, Fidelity International, květen 2023. Investice uvnitř sdružení ASEAN jsou z přílivu přímých zahraničních investic vyloučeny.</w:t>
      </w:r>
    </w:p>
    <w:p w14:paraId="75F54E4C" w14:textId="7F938962" w:rsidR="008A114F" w:rsidRPr="008A114F" w:rsidRDefault="0049538C" w:rsidP="008A114F">
      <w:pPr>
        <w:spacing w:after="210" w:line="276" w:lineRule="auto"/>
      </w:pPr>
      <w:r>
        <w:t>„</w:t>
      </w:r>
      <w:r w:rsidR="008A114F" w:rsidRPr="0049538C">
        <w:rPr>
          <w:i/>
          <w:iCs/>
        </w:rPr>
        <w:t>Po celém regionu vznikají vysoce konkurenceschopná a různorodá výrobní centra. Pokud jde o výrobu elektroniky, Vietnam se stále více podobá zmenšené Číně. V Malajsii vyrábějí továrny stolní počítače pro světové značky jako HP a Dell. V Thajsku, kam japonské a čínské automobilky přesunuly některé své výrobní linky, vzniká nové regionální centrum výroby automobilů, stále častěji také elektromobilů. Bohaté zdroje Indonésie mezitím umožňují rozvoj těžby niklu a s tím související výrobu baterií pro elektromobily</w:t>
      </w:r>
      <w:r>
        <w:t xml:space="preserve">,“ vysvětluje </w:t>
      </w:r>
      <w:r w:rsidRPr="0049538C">
        <w:t>Madeleine Kuang</w:t>
      </w:r>
      <w:r>
        <w:t xml:space="preserve">, manažerka </w:t>
      </w:r>
      <w:r w:rsidRPr="0049538C">
        <w:t>Fidelity Emerging Asia Fund (SICAV)</w:t>
      </w:r>
      <w:r>
        <w:t>, Fidelity International.</w:t>
      </w:r>
    </w:p>
    <w:p w14:paraId="01A20137" w14:textId="4E5A7BA1" w:rsidR="008A114F" w:rsidRDefault="008A114F" w:rsidP="008A114F">
      <w:pPr>
        <w:spacing w:after="210" w:line="276" w:lineRule="auto"/>
      </w:pPr>
      <w:r w:rsidRPr="008A114F">
        <w:t>Díky tomuto výrobnímu boomu se prudce zvýšil vývoz, přičemž jihovýchodní Asie zaznamenala v loňském roce 22,6% nárůst vyváženého zboží, což je nejvíce ze všech asijských regionů. Mezitím vývoz služeb z jihovýchodní Asie v roce 2022 vzrostl o 19,1 %, což je rovněž nejrychlejší růst v Asii.</w:t>
      </w:r>
    </w:p>
    <w:p w14:paraId="07B98238" w14:textId="2B01A470" w:rsidR="008A114F" w:rsidRPr="008A114F" w:rsidRDefault="008A114F" w:rsidP="008A114F">
      <w:pPr>
        <w:pStyle w:val="paragraph"/>
        <w:spacing w:before="0" w:beforeAutospacing="0" w:after="0" w:afterAutospacing="0" w:line="276" w:lineRule="auto"/>
        <w:jc w:val="both"/>
        <w:textAlignment w:val="baseline"/>
        <w:rPr>
          <w:rFonts w:ascii="Arial" w:eastAsiaTheme="minorHAnsi" w:hAnsi="Arial" w:cs="Arial"/>
          <w:b/>
          <w:sz w:val="20"/>
          <w:szCs w:val="20"/>
          <w:lang w:val="cs-CZ" w:eastAsia="en-US"/>
        </w:rPr>
      </w:pPr>
      <w:r w:rsidRPr="00023A11">
        <w:rPr>
          <w:i/>
          <w:iCs/>
          <w:noProof/>
        </w:rPr>
        <w:drawing>
          <wp:anchor distT="0" distB="0" distL="114300" distR="114300" simplePos="0" relativeHeight="251658240" behindDoc="0" locked="0" layoutInCell="1" allowOverlap="1" wp14:anchorId="0BB687AE" wp14:editId="660FE10D">
            <wp:simplePos x="0" y="0"/>
            <wp:positionH relativeFrom="margin">
              <wp:posOffset>-1270</wp:posOffset>
            </wp:positionH>
            <wp:positionV relativeFrom="paragraph">
              <wp:posOffset>156210</wp:posOffset>
            </wp:positionV>
            <wp:extent cx="5759450" cy="2482850"/>
            <wp:effectExtent l="0" t="0" r="0" b="0"/>
            <wp:wrapSquare wrapText="bothSides"/>
            <wp:docPr id="105124459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244593" name=""/>
                    <pic:cNvPicPr/>
                  </pic:nvPicPr>
                  <pic:blipFill>
                    <a:blip r:embed="rId14">
                      <a:extLst>
                        <a:ext uri="{28A0092B-C50C-407E-A947-70E740481C1C}">
                          <a14:useLocalDpi xmlns:a14="http://schemas.microsoft.com/office/drawing/2010/main" val="0"/>
                        </a:ext>
                      </a:extLst>
                    </a:blip>
                    <a:stretch>
                      <a:fillRect/>
                    </a:stretch>
                  </pic:blipFill>
                  <pic:spPr>
                    <a:xfrm>
                      <a:off x="0" y="0"/>
                      <a:ext cx="5759450" cy="2482850"/>
                    </a:xfrm>
                    <a:prstGeom prst="rect">
                      <a:avLst/>
                    </a:prstGeom>
                  </pic:spPr>
                </pic:pic>
              </a:graphicData>
            </a:graphic>
          </wp:anchor>
        </w:drawing>
      </w:r>
      <w:r>
        <w:rPr>
          <w:rFonts w:ascii="Arial" w:eastAsiaTheme="minorHAnsi" w:hAnsi="Arial" w:cs="Arial"/>
          <w:b/>
          <w:sz w:val="20"/>
          <w:szCs w:val="20"/>
          <w:lang w:val="cs-CZ" w:eastAsia="en-US"/>
        </w:rPr>
        <w:t>Graf 3: ASEAN je lídrem růstu exportu v Asii</w:t>
      </w:r>
    </w:p>
    <w:p w14:paraId="01AE0264" w14:textId="77777777" w:rsidR="008A114F" w:rsidRPr="008A114F" w:rsidRDefault="008A114F" w:rsidP="008A114F">
      <w:pPr>
        <w:tabs>
          <w:tab w:val="left" w:pos="1230"/>
        </w:tabs>
        <w:jc w:val="right"/>
        <w:rPr>
          <w:i/>
          <w:iCs/>
          <w:sz w:val="18"/>
          <w:szCs w:val="18"/>
        </w:rPr>
      </w:pPr>
      <w:r w:rsidRPr="008A114F">
        <w:rPr>
          <w:i/>
          <w:iCs/>
          <w:sz w:val="18"/>
          <w:szCs w:val="18"/>
        </w:rPr>
        <w:t>Zdroj: OSN ESCAP, Fidelity International, květen 2023.</w:t>
      </w:r>
    </w:p>
    <w:p w14:paraId="5CD505AE" w14:textId="77777777" w:rsidR="008A114F" w:rsidRDefault="008A114F" w:rsidP="001E53EB">
      <w:pPr>
        <w:pStyle w:val="paragraph"/>
        <w:spacing w:before="0" w:beforeAutospacing="0" w:after="0" w:afterAutospacing="0" w:line="276" w:lineRule="auto"/>
        <w:jc w:val="both"/>
        <w:textAlignment w:val="baseline"/>
        <w:rPr>
          <w:rFonts w:ascii="Arial" w:eastAsiaTheme="minorHAnsi" w:hAnsi="Arial" w:cs="Arial"/>
          <w:b/>
          <w:sz w:val="20"/>
          <w:szCs w:val="20"/>
          <w:lang w:val="cs-CZ" w:eastAsia="en-US"/>
        </w:rPr>
      </w:pPr>
    </w:p>
    <w:p w14:paraId="25AE43BA" w14:textId="77777777" w:rsidR="008A114F" w:rsidRDefault="008A114F" w:rsidP="001E53EB">
      <w:pPr>
        <w:pStyle w:val="paragraph"/>
        <w:spacing w:before="0" w:beforeAutospacing="0" w:after="0" w:afterAutospacing="0" w:line="276" w:lineRule="auto"/>
        <w:jc w:val="both"/>
        <w:textAlignment w:val="baseline"/>
        <w:rPr>
          <w:rFonts w:ascii="Arial" w:eastAsiaTheme="minorHAnsi" w:hAnsi="Arial" w:cs="Arial"/>
          <w:b/>
          <w:sz w:val="20"/>
          <w:szCs w:val="20"/>
          <w:lang w:val="cs-CZ" w:eastAsia="en-US"/>
        </w:rPr>
      </w:pPr>
    </w:p>
    <w:p w14:paraId="3DE9A65A" w14:textId="77777777" w:rsidR="008A114F" w:rsidRDefault="008A114F" w:rsidP="001E53EB">
      <w:pPr>
        <w:pStyle w:val="paragraph"/>
        <w:spacing w:before="0" w:beforeAutospacing="0" w:after="0" w:afterAutospacing="0" w:line="276" w:lineRule="auto"/>
        <w:jc w:val="both"/>
        <w:textAlignment w:val="baseline"/>
        <w:rPr>
          <w:rFonts w:ascii="Arial" w:eastAsiaTheme="minorHAnsi" w:hAnsi="Arial" w:cs="Arial"/>
          <w:b/>
          <w:sz w:val="20"/>
          <w:szCs w:val="20"/>
          <w:lang w:val="cs-CZ" w:eastAsia="en-US"/>
        </w:rPr>
      </w:pPr>
    </w:p>
    <w:p w14:paraId="3AD76557" w14:textId="29690B77" w:rsidR="001E53EB" w:rsidRPr="001E53EB" w:rsidRDefault="008A114F" w:rsidP="001E53EB">
      <w:pPr>
        <w:pStyle w:val="paragraph"/>
        <w:spacing w:before="0" w:beforeAutospacing="0" w:after="0" w:afterAutospacing="0" w:line="276" w:lineRule="auto"/>
        <w:jc w:val="both"/>
        <w:textAlignment w:val="baseline"/>
        <w:rPr>
          <w:rFonts w:ascii="Arial" w:eastAsiaTheme="minorHAnsi" w:hAnsi="Arial" w:cs="Arial"/>
          <w:b/>
          <w:sz w:val="20"/>
          <w:szCs w:val="20"/>
          <w:lang w:val="cs-CZ" w:eastAsia="en-US"/>
        </w:rPr>
      </w:pPr>
      <w:r>
        <w:rPr>
          <w:rFonts w:ascii="Arial" w:eastAsiaTheme="minorHAnsi" w:hAnsi="Arial" w:cs="Arial"/>
          <w:b/>
          <w:sz w:val="20"/>
          <w:szCs w:val="20"/>
          <w:lang w:val="cs-CZ" w:eastAsia="en-US"/>
        </w:rPr>
        <w:t>Kam továrny, tam trhy?</w:t>
      </w:r>
    </w:p>
    <w:p w14:paraId="5449545C" w14:textId="77777777" w:rsidR="008A114F" w:rsidRPr="008A114F" w:rsidRDefault="008A114F" w:rsidP="008A114F">
      <w:pPr>
        <w:spacing w:after="210" w:line="276" w:lineRule="auto"/>
      </w:pPr>
      <w:r w:rsidRPr="008A114F">
        <w:t xml:space="preserve">Rozvoj finančních trhů ASEANu však zaostává za tempem investic do regionu. Například země jihovýchodní Asie se na indexu MSCI Emerging Asia podílejí dohromady méně než 8 %, zatímco Indie, jejíž HDP v roce 2022 byl nižší než HDP zemí ASEAN, přibližně 18 %. </w:t>
      </w:r>
    </w:p>
    <w:p w14:paraId="525999E0" w14:textId="77777777" w:rsidR="008A114F" w:rsidRPr="008A114F" w:rsidRDefault="008A114F" w:rsidP="008A114F">
      <w:pPr>
        <w:spacing w:after="210" w:line="276" w:lineRule="auto"/>
      </w:pPr>
      <w:r w:rsidRPr="008A114F">
        <w:t xml:space="preserve">Je pochopitelné, že většina globálních investorů zatím ASEAN ve svých portfoliích nenadvažuje. Pro cizince může být obtížné se ve finančním prostředí regionu orientovat, neboť se zde liší právní systémy, tržní infrastruktura i houštiny byrokracie. Některé investory odrazuje také nedostatečná celková likvidita na trzích ASEAN. Kromě toho někteří stále vzpomínají na to, jak se během asijské finanční krize v letech 1997-98 v některých částech regionu proběhla měnová devalvace. </w:t>
      </w:r>
    </w:p>
    <w:p w14:paraId="7023D920" w14:textId="77777777" w:rsidR="008A114F" w:rsidRPr="008A114F" w:rsidRDefault="008A114F" w:rsidP="008A114F">
      <w:pPr>
        <w:spacing w:after="210" w:line="276" w:lineRule="auto"/>
      </w:pPr>
      <w:r w:rsidRPr="008A114F">
        <w:t>Navzdory těmto obavám země jihovýchodní Asie pokročily v posilování svých rozvah a zlepšování právních systémů. Především díky růstu domácích kapitálových trhů mnohé z nich snížily svou závislost na vnějším financování. A většina členů ASEAN nashromáždila mnohem větší devizové rezervy než v době předchozích finančních krizí.</w:t>
      </w:r>
    </w:p>
    <w:p w14:paraId="3B2DFE16" w14:textId="5D67DF07" w:rsidR="00627C23" w:rsidRPr="00627C23" w:rsidRDefault="0049538C" w:rsidP="008A114F">
      <w:pPr>
        <w:spacing w:after="210" w:line="276" w:lineRule="auto"/>
      </w:pPr>
      <w:r w:rsidRPr="0049538C">
        <w:rPr>
          <w:i/>
          <w:iCs/>
        </w:rPr>
        <w:t>„</w:t>
      </w:r>
      <w:r w:rsidR="008A114F" w:rsidRPr="0049538C">
        <w:rPr>
          <w:i/>
          <w:iCs/>
        </w:rPr>
        <w:t>Ačkoli se finanční infrastruktura v regionu stále zdá být nedostatečně rozvinutá, znamená to prostor pro budoucí růst a příležitosti pro ty, kteří se do něj zapojí dříve. Díky silné demografické podpoře by se ASEAN mohl stát novou továrnou světa, zejména pokud místní finanční trhy doženou skluz</w:t>
      </w:r>
      <w:r>
        <w:t xml:space="preserve">,“ uzavírá </w:t>
      </w:r>
      <w:r w:rsidRPr="0049538C">
        <w:t>Madeleine Kuang</w:t>
      </w:r>
      <w:r>
        <w:t>.</w:t>
      </w:r>
    </w:p>
    <w:p w14:paraId="3B45AF67" w14:textId="26FCD08C" w:rsidR="00725052" w:rsidRPr="00627C23" w:rsidRDefault="00725052" w:rsidP="00627C23">
      <w:pPr>
        <w:spacing w:before="0" w:line="240" w:lineRule="atLeast"/>
        <w:rPr>
          <w:color w:val="000000" w:themeColor="text1"/>
        </w:rPr>
      </w:pPr>
      <w:r w:rsidRPr="00455A3C">
        <w:rPr>
          <w:b/>
        </w:rPr>
        <w:t>Pro více informací kontaktujte:</w:t>
      </w:r>
    </w:p>
    <w:p w14:paraId="7B66DFDA" w14:textId="77777777" w:rsidR="00725052" w:rsidRDefault="00725052" w:rsidP="002027ED">
      <w:pPr>
        <w:spacing w:before="0" w:line="240" w:lineRule="atLeast"/>
        <w:rPr>
          <w:b/>
        </w:rPr>
      </w:pPr>
      <w:r>
        <w:rPr>
          <w:b/>
        </w:rPr>
        <w:t>Eliška Krohová</w:t>
      </w:r>
    </w:p>
    <w:p w14:paraId="34A69B71" w14:textId="77777777" w:rsidR="00725052" w:rsidRPr="00455A3C" w:rsidRDefault="00725052" w:rsidP="002027ED">
      <w:pPr>
        <w:spacing w:before="0" w:line="240" w:lineRule="atLeast"/>
        <w:rPr>
          <w:b/>
          <w:bCs/>
        </w:rPr>
      </w:pPr>
      <w:r w:rsidRPr="00455A3C">
        <w:rPr>
          <w:b/>
          <w:bCs/>
        </w:rPr>
        <w:t>Crest Communications, a.s.</w:t>
      </w:r>
    </w:p>
    <w:p w14:paraId="76A61198" w14:textId="77777777" w:rsidR="00725052" w:rsidRPr="00455A3C" w:rsidRDefault="00725052" w:rsidP="002027ED">
      <w:pPr>
        <w:spacing w:before="0" w:line="240" w:lineRule="atLeast"/>
      </w:pPr>
    </w:p>
    <w:p w14:paraId="5BFDE25D" w14:textId="77777777" w:rsidR="00725052" w:rsidRPr="00455A3C" w:rsidRDefault="00725052" w:rsidP="002027ED">
      <w:pPr>
        <w:spacing w:before="0" w:line="240" w:lineRule="atLeast"/>
      </w:pPr>
      <w:r w:rsidRPr="00455A3C">
        <w:t>Ostrovní 126/30</w:t>
      </w:r>
    </w:p>
    <w:p w14:paraId="35E1E439" w14:textId="77777777" w:rsidR="00725052" w:rsidRPr="00455A3C" w:rsidRDefault="00725052" w:rsidP="002027ED">
      <w:pPr>
        <w:spacing w:before="0" w:line="240" w:lineRule="atLeast"/>
      </w:pPr>
      <w:r w:rsidRPr="00455A3C">
        <w:t>110 00 Praha 1</w:t>
      </w:r>
    </w:p>
    <w:p w14:paraId="35FD41C3" w14:textId="77777777" w:rsidR="00725052" w:rsidRPr="00455A3C" w:rsidRDefault="00725052" w:rsidP="002027ED">
      <w:pPr>
        <w:spacing w:before="0" w:line="240" w:lineRule="atLeast"/>
      </w:pPr>
      <w:r>
        <w:t>gsm: + 420 720 406 659</w:t>
      </w:r>
    </w:p>
    <w:p w14:paraId="4FD0B4A0" w14:textId="77777777" w:rsidR="000E2910" w:rsidRDefault="00725052" w:rsidP="002027ED">
      <w:pPr>
        <w:spacing w:before="0" w:line="240" w:lineRule="atLeast"/>
        <w:rPr>
          <w:rStyle w:val="Hypertextovodkaz"/>
        </w:rPr>
      </w:pPr>
      <w:r w:rsidRPr="00455A3C">
        <w:rPr>
          <w:color w:val="000000"/>
        </w:rPr>
        <w:t xml:space="preserve">e-mail: </w:t>
      </w:r>
      <w:hyperlink r:id="rId15" w:history="1">
        <w:r w:rsidRPr="00E23FD4">
          <w:rPr>
            <w:rStyle w:val="Hypertextovodkaz"/>
          </w:rPr>
          <w:t>eliska.krohova@crestcom.cz</w:t>
        </w:r>
      </w:hyperlink>
    </w:p>
    <w:p w14:paraId="14AE2F5A" w14:textId="77777777" w:rsidR="005A5AB1" w:rsidRPr="005A5AB1" w:rsidRDefault="005A5AB1" w:rsidP="002027ED">
      <w:pPr>
        <w:pStyle w:val="F2-zkladn"/>
      </w:pPr>
    </w:p>
    <w:p w14:paraId="795B3F46" w14:textId="77777777" w:rsidR="00D404D5" w:rsidRPr="00D404D5" w:rsidRDefault="00D404D5" w:rsidP="002027ED">
      <w:pPr>
        <w:shd w:val="clear" w:color="auto" w:fill="FFFFFF"/>
        <w:spacing w:before="0" w:line="360" w:lineRule="atLeast"/>
        <w:rPr>
          <w:b/>
          <w:bCs/>
        </w:rPr>
      </w:pPr>
      <w:r w:rsidRPr="00D404D5">
        <w:rPr>
          <w:b/>
          <w:bCs/>
        </w:rPr>
        <w:t>Informace pro editory:</w:t>
      </w:r>
    </w:p>
    <w:p w14:paraId="37250136" w14:textId="6309A254" w:rsidR="007F74CA" w:rsidRDefault="00D404D5" w:rsidP="002027ED">
      <w:pPr>
        <w:shd w:val="clear" w:color="auto" w:fill="FFFFFF"/>
        <w:spacing w:before="0" w:line="360" w:lineRule="atLeast"/>
        <w:rPr>
          <w:color w:val="000000"/>
          <w:lang w:eastAsia="en-US"/>
        </w:rPr>
      </w:pPr>
      <w:r w:rsidRPr="00D404D5">
        <w:rPr>
          <w:b/>
          <w:bCs/>
        </w:rPr>
        <w:t>Fidelity International </w:t>
      </w:r>
      <w:r w:rsidRPr="00D404D5">
        <w:rPr>
          <w:color w:val="000000"/>
          <w:lang w:eastAsia="en-US"/>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(assets under administration) a globálně pro klienty investovala 290 mld. USD ve 25 zemích napříč Evropou, Asií, Tichomořím, středním Východem a jižní Amerikou. V České republice Fidelity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2DD0B2F0" w14:textId="77777777" w:rsidR="008A114F" w:rsidRDefault="008A114F" w:rsidP="008A114F">
      <w:pPr>
        <w:pStyle w:val="F2-zkladn"/>
        <w:rPr>
          <w:lang w:eastAsia="en-US"/>
        </w:rPr>
      </w:pPr>
    </w:p>
    <w:p w14:paraId="11A0350D" w14:textId="77777777" w:rsidR="008A114F" w:rsidRPr="008A114F" w:rsidRDefault="008A114F" w:rsidP="008A114F">
      <w:pPr>
        <w:pStyle w:val="F2-zkladn"/>
        <w:rPr>
          <w:lang w:eastAsia="en-US"/>
        </w:rPr>
      </w:pPr>
    </w:p>
    <w:p w14:paraId="129A4442" w14:textId="77777777" w:rsidR="00424771" w:rsidRPr="00424771" w:rsidRDefault="00424771" w:rsidP="002027ED">
      <w:pPr>
        <w:pStyle w:val="F2-zkladn"/>
        <w:rPr>
          <w:b/>
          <w:bCs/>
        </w:rPr>
      </w:pPr>
      <w:r w:rsidRPr="00424771">
        <w:rPr>
          <w:b/>
          <w:bCs/>
        </w:rPr>
        <w:t>Důležité upozornění</w:t>
      </w:r>
    </w:p>
    <w:p w14:paraId="433960A8" w14:textId="77777777" w:rsidR="00424771" w:rsidRDefault="00424771" w:rsidP="002027ED">
      <w:pPr>
        <w:pStyle w:val="F2-zkladn"/>
      </w:pPr>
      <w:r>
        <w:t>Toto je propagační materiál. Tento dokument nesmí být bez předchozího souhlasu rozmnožován nebo rozšiřován.</w:t>
      </w:r>
    </w:p>
    <w:p w14:paraId="0B3DEE37" w14:textId="77777777" w:rsidR="00424771" w:rsidRDefault="00424771" w:rsidP="002027ED">
      <w:pPr>
        <w:pStyle w:val="F2-zkladn"/>
      </w:pPr>
      <w:r>
        <w:t>Fidelity International poskytuje informace pouze o svých produktech a neposkytuje investiční poradenství na základě individuálních potřeb, jinak než konkrétně řádně stanovené oprávněnou společností při formální komunikaci s klientem.</w:t>
      </w:r>
    </w:p>
    <w:p w14:paraId="61E87E02" w14:textId="77777777" w:rsidR="00424771" w:rsidRDefault="00424771" w:rsidP="002027ED">
      <w:pPr>
        <w:pStyle w:val="F2-zkladn"/>
      </w:pPr>
      <w:r>
        <w:t>Jako Fidelity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2F36FE40" w14:textId="77777777" w:rsidR="00424771" w:rsidRDefault="00424771" w:rsidP="002027ED">
      <w:pPr>
        <w:pStyle w:val="F2-zkladn"/>
      </w:pPr>
      <w:r>
        <w:t>Všechny názory představují stanoviska společnosti Fidelity, není-li uvedeno jinak. Fidelity, Fidelity International a logo Fidelity International a symbol měny F jsou všechno ochrannými známkami společnosti FIL Limited.</w:t>
      </w:r>
    </w:p>
    <w:p w14:paraId="6BC4A9D3" w14:textId="77777777" w:rsidR="00424771" w:rsidRDefault="00424771" w:rsidP="002027ED">
      <w:pPr>
        <w:pStyle w:val="F2-zkladn"/>
      </w:pPr>
      <w:r>
        <w:t>Tento dokument nepředstavuje distribuci, nabídku nebo výzvu k využití služeb investiční správy společnosti Fidelity, ani nabídku ke koupi, prodeji nebo výzvu k nabídce ke koupi nebo prodeji jakýchkoli cenných papírů v jakékoli jurisdikci nebo zemi, kde taková distribuce nebo nabídka není povolena či by byla v rozporu s místními zákony nebo předpisy.</w:t>
      </w:r>
    </w:p>
    <w:p w14:paraId="72B3F5EA" w14:textId="77777777" w:rsidR="00424771" w:rsidRDefault="00424771" w:rsidP="002027ED">
      <w:pPr>
        <w:pStyle w:val="F2-zkladn"/>
      </w:pPr>
      <w:r>
        <w:t>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Fidelity již mohla jednat. Průzkumy a analýzy použité v této dokumentaci shromažďuje společnost Fidelity pro své potřeby správce investic a je možné, že podle nich již bylo postupováno pro její vlastní účely. Tento materiál byl vytvořen společností Fidelity International.</w:t>
      </w:r>
    </w:p>
    <w:p w14:paraId="7CEE125B" w14:textId="77777777" w:rsidR="00424771" w:rsidRDefault="00424771" w:rsidP="002027ED">
      <w:pPr>
        <w:pStyle w:val="F2-zkladn"/>
      </w:pPr>
      <w:r>
        <w:t>Minulá výkonnost není spolehlivým ukazatelem budoucích výsledků.</w:t>
      </w:r>
    </w:p>
    <w:p w14:paraId="5443331B" w14:textId="77777777" w:rsidR="00424771" w:rsidRDefault="00424771" w:rsidP="002027ED">
      <w:pPr>
        <w:pStyle w:val="F2-zkladn"/>
      </w:pPr>
      <w:r>
        <w:t>Tento dokument může obsahovat materiály třetích stran, které jsou dodávány společnostmi, jež nejsou spojeny s žádným subjektem Fidelity (obsah třetích stran). Společnost Fidelity se nepodílela na přípravě, přijetí ani úpravě takových materiálů třetích stran a výslovně ani implicitně takový obsah neschvaluje ani nepodporovala.</w:t>
      </w:r>
    </w:p>
    <w:p w14:paraId="310C6B00" w14:textId="77777777" w:rsidR="00424771" w:rsidRDefault="00424771" w:rsidP="002027ED">
      <w:pPr>
        <w:pStyle w:val="F2-zkladn"/>
      </w:pPr>
      <w:r>
        <w:t>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distributořů a našeho evropského Centra služeb v Lucembursku, sídlící na adrese FIL (Luxembourg) S.A. 2a, rue Albert Borschette BP 2174 L-1021 Luxembourg.</w:t>
      </w:r>
    </w:p>
    <w:p w14:paraId="4471B0D2" w14:textId="77777777" w:rsidR="00424771" w:rsidRDefault="00424771" w:rsidP="002027ED">
      <w:pPr>
        <w:pStyle w:val="F2-zkladn"/>
      </w:pPr>
      <w:r>
        <w:lastRenderedPageBreak/>
        <w:t>Fidelity Funds "FF" je otevřená investiční společnost (SKIPCP) sídlící v Lucembursku, která disponuje akciemi různých tříd. Společnost FIL Investment Management (Luxembourg) S.A. si vyhrazuje právo ukončit nabízení podfondu a jeho podílových jednotek na trhu v souladu s článkem 93 písm. a) směrnice 2009/65/ES a článkem 32 písm. a) směrnice 2011/61/EU. Toto ukončení bude předem oznámeno v Lucembursku.Obchodní známky třetích stran, autorská práva a další práva duševního vlastnictví zůstávají majetkem jejich konkrétních vlastníků.</w:t>
      </w:r>
    </w:p>
    <w:p w14:paraId="58994F9D" w14:textId="43A40708" w:rsidR="00424771" w:rsidRDefault="00424771" w:rsidP="002027ED">
      <w:pPr>
        <w:pStyle w:val="F2-zkladn"/>
      </w:pPr>
      <w:r>
        <w:t>Investoři a potenciální investoři mohou získat informace o svých právech ve spojení se stížnostmi a soudními spory na tomto odkazu: https://www.fidelity.cz (v češtině).</w:t>
      </w:r>
    </w:p>
    <w:p w14:paraId="37FEF95C" w14:textId="77777777" w:rsidR="006419BA" w:rsidRDefault="006419BA" w:rsidP="006419BA">
      <w:pPr>
        <w:rPr>
          <w:rFonts w:ascii="Calibri" w:hAnsi="Calibri" w:cs="Calibri"/>
        </w:rPr>
      </w:pPr>
      <w:r>
        <w:rPr>
          <w:lang w:val="de-AT"/>
        </w:rPr>
        <w:t>MKAT11431</w:t>
      </w:r>
    </w:p>
    <w:p w14:paraId="0C902663" w14:textId="4A1FEA0C" w:rsidR="00B42703" w:rsidRPr="000E0C24" w:rsidRDefault="00B42703" w:rsidP="000E0C24">
      <w:pPr>
        <w:pStyle w:val="F2-zkladn"/>
      </w:pPr>
    </w:p>
    <w:sectPr w:rsidR="00B42703" w:rsidRPr="000E0C24" w:rsidSect="002F1160">
      <w:headerReference w:type="default" r:id="rId16"/>
      <w:footerReference w:type="default" r:id="rId17"/>
      <w:headerReference w:type="first" r:id="rId18"/>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51460" w14:textId="77777777" w:rsidR="000F5A28" w:rsidRDefault="000F5A28">
      <w:r>
        <w:separator/>
      </w:r>
    </w:p>
  </w:endnote>
  <w:endnote w:type="continuationSeparator" w:id="0">
    <w:p w14:paraId="4770D7F6" w14:textId="77777777" w:rsidR="000F5A28" w:rsidRDefault="000F5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ulim">
    <w:altName w:val="굴림"/>
    <w:panose1 w:val="020B0600000101010101"/>
    <w:charset w:val="81"/>
    <w:family w:val="roman"/>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5637"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C265C" w14:textId="77777777" w:rsidR="000F5A28" w:rsidRDefault="000F5A28">
      <w:r>
        <w:separator/>
      </w:r>
    </w:p>
  </w:footnote>
  <w:footnote w:type="continuationSeparator" w:id="0">
    <w:p w14:paraId="75A3E090" w14:textId="77777777" w:rsidR="000F5A28" w:rsidRDefault="000F5A28">
      <w:r>
        <w:continuationSeparator/>
      </w:r>
    </w:p>
  </w:footnote>
  <w:footnote w:type="continuationNotice" w:id="1">
    <w:p w14:paraId="110CB0A4" w14:textId="77777777" w:rsidR="000F5A28" w:rsidRDefault="000F5A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8017D"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6A00C" w14:textId="77777777" w:rsidR="001D1343" w:rsidRDefault="0018797C">
    <w:pPr>
      <w:pStyle w:val="Zhlav"/>
    </w:pPr>
    <w:r>
      <w:rPr>
        <w:noProof/>
      </w:rPr>
      <w:drawing>
        <wp:anchor distT="0" distB="0" distL="114300" distR="114300" simplePos="0" relativeHeight="251657728" behindDoc="0" locked="0" layoutInCell="1" allowOverlap="1" wp14:anchorId="03F4AD04" wp14:editId="5C9E197D">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30368C94" w14:textId="77777777" w:rsidR="001D1343" w:rsidRDefault="001D1343">
    <w:pPr>
      <w:pStyle w:val="Zhlav"/>
    </w:pPr>
  </w:p>
  <w:p w14:paraId="37BBE7A7"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ADA0103"/>
    <w:multiLevelType w:val="hybridMultilevel"/>
    <w:tmpl w:val="741E0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5"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6"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7"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21"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22"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73703941">
    <w:abstractNumId w:val="15"/>
  </w:num>
  <w:num w:numId="2" w16cid:durableId="1638339720">
    <w:abstractNumId w:val="21"/>
  </w:num>
  <w:num w:numId="3" w16cid:durableId="1582174134">
    <w:abstractNumId w:val="23"/>
  </w:num>
  <w:num w:numId="4" w16cid:durableId="1727561179">
    <w:abstractNumId w:val="17"/>
  </w:num>
  <w:num w:numId="5" w16cid:durableId="56979214">
    <w:abstractNumId w:val="18"/>
  </w:num>
  <w:num w:numId="6" w16cid:durableId="52699439">
    <w:abstractNumId w:val="16"/>
  </w:num>
  <w:num w:numId="7" w16cid:durableId="1526748972">
    <w:abstractNumId w:val="22"/>
  </w:num>
  <w:num w:numId="8" w16cid:durableId="1090007024">
    <w:abstractNumId w:val="19"/>
  </w:num>
  <w:num w:numId="9" w16cid:durableId="1032535037">
    <w:abstractNumId w:val="8"/>
  </w:num>
  <w:num w:numId="10" w16cid:durableId="1368292198">
    <w:abstractNumId w:val="3"/>
  </w:num>
  <w:num w:numId="11" w16cid:durableId="427233610">
    <w:abstractNumId w:val="2"/>
  </w:num>
  <w:num w:numId="12" w16cid:durableId="1182013425">
    <w:abstractNumId w:val="1"/>
  </w:num>
  <w:num w:numId="13" w16cid:durableId="1669865951">
    <w:abstractNumId w:val="0"/>
  </w:num>
  <w:num w:numId="14" w16cid:durableId="1801612444">
    <w:abstractNumId w:val="11"/>
  </w:num>
  <w:num w:numId="15" w16cid:durableId="25445604">
    <w:abstractNumId w:val="9"/>
  </w:num>
  <w:num w:numId="16" w16cid:durableId="178474471">
    <w:abstractNumId w:val="7"/>
  </w:num>
  <w:num w:numId="17" w16cid:durableId="545071526">
    <w:abstractNumId w:val="6"/>
  </w:num>
  <w:num w:numId="18" w16cid:durableId="1622882410">
    <w:abstractNumId w:val="5"/>
  </w:num>
  <w:num w:numId="19" w16cid:durableId="437528543">
    <w:abstractNumId w:val="4"/>
  </w:num>
  <w:num w:numId="20" w16cid:durableId="2003003173">
    <w:abstractNumId w:val="14"/>
  </w:num>
  <w:num w:numId="21" w16cid:durableId="1552955819">
    <w:abstractNumId w:val="20"/>
  </w:num>
  <w:num w:numId="22" w16cid:durableId="1722094048">
    <w:abstractNumId w:val="12"/>
  </w:num>
  <w:num w:numId="23" w16cid:durableId="1472819905">
    <w:abstractNumId w:val="10"/>
  </w:num>
  <w:num w:numId="24" w16cid:durableId="1979648277">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353E"/>
    <w:rsid w:val="00005C47"/>
    <w:rsid w:val="000064D6"/>
    <w:rsid w:val="00006E35"/>
    <w:rsid w:val="00011BEC"/>
    <w:rsid w:val="00013232"/>
    <w:rsid w:val="00016492"/>
    <w:rsid w:val="00017E0A"/>
    <w:rsid w:val="00021D97"/>
    <w:rsid w:val="000237A9"/>
    <w:rsid w:val="00026B23"/>
    <w:rsid w:val="00032CD3"/>
    <w:rsid w:val="00033378"/>
    <w:rsid w:val="0003583E"/>
    <w:rsid w:val="00035DD6"/>
    <w:rsid w:val="000363FF"/>
    <w:rsid w:val="00040650"/>
    <w:rsid w:val="00040CE8"/>
    <w:rsid w:val="00040DEC"/>
    <w:rsid w:val="00041B2D"/>
    <w:rsid w:val="000452CD"/>
    <w:rsid w:val="00045D38"/>
    <w:rsid w:val="00047888"/>
    <w:rsid w:val="00047D97"/>
    <w:rsid w:val="00047F54"/>
    <w:rsid w:val="000502C0"/>
    <w:rsid w:val="00050575"/>
    <w:rsid w:val="00052178"/>
    <w:rsid w:val="0005404F"/>
    <w:rsid w:val="00054FEF"/>
    <w:rsid w:val="000564A3"/>
    <w:rsid w:val="00061775"/>
    <w:rsid w:val="00062BEA"/>
    <w:rsid w:val="00063F4E"/>
    <w:rsid w:val="00065B2F"/>
    <w:rsid w:val="000702F0"/>
    <w:rsid w:val="0007034E"/>
    <w:rsid w:val="0007090F"/>
    <w:rsid w:val="00070C89"/>
    <w:rsid w:val="00071169"/>
    <w:rsid w:val="00073A88"/>
    <w:rsid w:val="00073D6F"/>
    <w:rsid w:val="000755DF"/>
    <w:rsid w:val="000763EB"/>
    <w:rsid w:val="0007674D"/>
    <w:rsid w:val="000767DF"/>
    <w:rsid w:val="00076A25"/>
    <w:rsid w:val="00076A2B"/>
    <w:rsid w:val="00080750"/>
    <w:rsid w:val="00081DCE"/>
    <w:rsid w:val="00084075"/>
    <w:rsid w:val="00091210"/>
    <w:rsid w:val="00092137"/>
    <w:rsid w:val="000923E4"/>
    <w:rsid w:val="00093200"/>
    <w:rsid w:val="00093C6A"/>
    <w:rsid w:val="00093E98"/>
    <w:rsid w:val="000940D0"/>
    <w:rsid w:val="000A0176"/>
    <w:rsid w:val="000A2833"/>
    <w:rsid w:val="000A2D6F"/>
    <w:rsid w:val="000A3FFF"/>
    <w:rsid w:val="000A5FDF"/>
    <w:rsid w:val="000A73CB"/>
    <w:rsid w:val="000A755E"/>
    <w:rsid w:val="000B0FBB"/>
    <w:rsid w:val="000B2222"/>
    <w:rsid w:val="000B2426"/>
    <w:rsid w:val="000B39A5"/>
    <w:rsid w:val="000B57A2"/>
    <w:rsid w:val="000B5A2B"/>
    <w:rsid w:val="000C0E0E"/>
    <w:rsid w:val="000C17C8"/>
    <w:rsid w:val="000C34DC"/>
    <w:rsid w:val="000C4D6D"/>
    <w:rsid w:val="000C5471"/>
    <w:rsid w:val="000C727D"/>
    <w:rsid w:val="000C772F"/>
    <w:rsid w:val="000D25CC"/>
    <w:rsid w:val="000D3C66"/>
    <w:rsid w:val="000D580F"/>
    <w:rsid w:val="000E0C24"/>
    <w:rsid w:val="000E2910"/>
    <w:rsid w:val="000E3678"/>
    <w:rsid w:val="000E3D98"/>
    <w:rsid w:val="000E42A1"/>
    <w:rsid w:val="000E5D25"/>
    <w:rsid w:val="000E7418"/>
    <w:rsid w:val="000F0587"/>
    <w:rsid w:val="000F1AE6"/>
    <w:rsid w:val="000F2443"/>
    <w:rsid w:val="000F274E"/>
    <w:rsid w:val="000F27E1"/>
    <w:rsid w:val="000F330C"/>
    <w:rsid w:val="000F4953"/>
    <w:rsid w:val="000F5A28"/>
    <w:rsid w:val="000F5BBC"/>
    <w:rsid w:val="000F75AD"/>
    <w:rsid w:val="000F7C86"/>
    <w:rsid w:val="0010078F"/>
    <w:rsid w:val="00102DF4"/>
    <w:rsid w:val="00111B20"/>
    <w:rsid w:val="00112C69"/>
    <w:rsid w:val="00112D51"/>
    <w:rsid w:val="00113408"/>
    <w:rsid w:val="00113C5A"/>
    <w:rsid w:val="00113E5E"/>
    <w:rsid w:val="0011458C"/>
    <w:rsid w:val="00114722"/>
    <w:rsid w:val="001169F2"/>
    <w:rsid w:val="00117D27"/>
    <w:rsid w:val="00121FAB"/>
    <w:rsid w:val="0012308F"/>
    <w:rsid w:val="00127396"/>
    <w:rsid w:val="00130E22"/>
    <w:rsid w:val="00131E29"/>
    <w:rsid w:val="00134A55"/>
    <w:rsid w:val="00137FDE"/>
    <w:rsid w:val="00140F96"/>
    <w:rsid w:val="0014300F"/>
    <w:rsid w:val="001443DF"/>
    <w:rsid w:val="001444EC"/>
    <w:rsid w:val="00145F9D"/>
    <w:rsid w:val="001462C0"/>
    <w:rsid w:val="00146BBC"/>
    <w:rsid w:val="001522B5"/>
    <w:rsid w:val="00153D75"/>
    <w:rsid w:val="00153FD1"/>
    <w:rsid w:val="00154C56"/>
    <w:rsid w:val="00160EB2"/>
    <w:rsid w:val="00161993"/>
    <w:rsid w:val="001628BC"/>
    <w:rsid w:val="0016361E"/>
    <w:rsid w:val="00170309"/>
    <w:rsid w:val="001715D9"/>
    <w:rsid w:val="00172511"/>
    <w:rsid w:val="00172F1C"/>
    <w:rsid w:val="0017506A"/>
    <w:rsid w:val="00177E1C"/>
    <w:rsid w:val="00177E5E"/>
    <w:rsid w:val="0018406F"/>
    <w:rsid w:val="00184F14"/>
    <w:rsid w:val="0018525E"/>
    <w:rsid w:val="0018797C"/>
    <w:rsid w:val="00193268"/>
    <w:rsid w:val="00193655"/>
    <w:rsid w:val="00193CC3"/>
    <w:rsid w:val="00194285"/>
    <w:rsid w:val="00194945"/>
    <w:rsid w:val="00197E01"/>
    <w:rsid w:val="001A085A"/>
    <w:rsid w:val="001A0CB6"/>
    <w:rsid w:val="001A1B9B"/>
    <w:rsid w:val="001A3CA7"/>
    <w:rsid w:val="001A4AA9"/>
    <w:rsid w:val="001A68C4"/>
    <w:rsid w:val="001A7D5A"/>
    <w:rsid w:val="001A7DE3"/>
    <w:rsid w:val="001B19BC"/>
    <w:rsid w:val="001B1BBD"/>
    <w:rsid w:val="001B23C8"/>
    <w:rsid w:val="001B2BE9"/>
    <w:rsid w:val="001B306F"/>
    <w:rsid w:val="001B353C"/>
    <w:rsid w:val="001B489F"/>
    <w:rsid w:val="001B69B7"/>
    <w:rsid w:val="001C5A91"/>
    <w:rsid w:val="001C5DB0"/>
    <w:rsid w:val="001D032B"/>
    <w:rsid w:val="001D0D99"/>
    <w:rsid w:val="001D1343"/>
    <w:rsid w:val="001D4B56"/>
    <w:rsid w:val="001D5163"/>
    <w:rsid w:val="001D7A7E"/>
    <w:rsid w:val="001E2936"/>
    <w:rsid w:val="001E2B0D"/>
    <w:rsid w:val="001E476B"/>
    <w:rsid w:val="001E507C"/>
    <w:rsid w:val="001E53EB"/>
    <w:rsid w:val="001E57AB"/>
    <w:rsid w:val="001E67FF"/>
    <w:rsid w:val="001F2C9A"/>
    <w:rsid w:val="001F4B06"/>
    <w:rsid w:val="001F5BD4"/>
    <w:rsid w:val="001F627F"/>
    <w:rsid w:val="002006D5"/>
    <w:rsid w:val="00201CD7"/>
    <w:rsid w:val="002027ED"/>
    <w:rsid w:val="00202F64"/>
    <w:rsid w:val="00206A9C"/>
    <w:rsid w:val="00212B9E"/>
    <w:rsid w:val="00212DDA"/>
    <w:rsid w:val="002147C4"/>
    <w:rsid w:val="00216EFA"/>
    <w:rsid w:val="0021765E"/>
    <w:rsid w:val="0021778F"/>
    <w:rsid w:val="00221EE4"/>
    <w:rsid w:val="00224347"/>
    <w:rsid w:val="00224EAE"/>
    <w:rsid w:val="00225670"/>
    <w:rsid w:val="00230204"/>
    <w:rsid w:val="0023028F"/>
    <w:rsid w:val="00230A3C"/>
    <w:rsid w:val="00230B88"/>
    <w:rsid w:val="00231842"/>
    <w:rsid w:val="00231E15"/>
    <w:rsid w:val="002325C8"/>
    <w:rsid w:val="00232D93"/>
    <w:rsid w:val="00235E9D"/>
    <w:rsid w:val="0023608B"/>
    <w:rsid w:val="00236922"/>
    <w:rsid w:val="00236A18"/>
    <w:rsid w:val="00236C7C"/>
    <w:rsid w:val="00236FC4"/>
    <w:rsid w:val="00240FEC"/>
    <w:rsid w:val="002423A0"/>
    <w:rsid w:val="00245331"/>
    <w:rsid w:val="0024760D"/>
    <w:rsid w:val="002476C8"/>
    <w:rsid w:val="00252C08"/>
    <w:rsid w:val="002548DB"/>
    <w:rsid w:val="00255E9C"/>
    <w:rsid w:val="00256692"/>
    <w:rsid w:val="00257859"/>
    <w:rsid w:val="0026336D"/>
    <w:rsid w:val="00267F47"/>
    <w:rsid w:val="002746C8"/>
    <w:rsid w:val="00274B2A"/>
    <w:rsid w:val="00276830"/>
    <w:rsid w:val="002772EA"/>
    <w:rsid w:val="00277457"/>
    <w:rsid w:val="0028058D"/>
    <w:rsid w:val="0028110E"/>
    <w:rsid w:val="0028168C"/>
    <w:rsid w:val="00282531"/>
    <w:rsid w:val="00283AE5"/>
    <w:rsid w:val="00284C66"/>
    <w:rsid w:val="0029073F"/>
    <w:rsid w:val="00291676"/>
    <w:rsid w:val="00291E39"/>
    <w:rsid w:val="00292C1D"/>
    <w:rsid w:val="00293679"/>
    <w:rsid w:val="00296721"/>
    <w:rsid w:val="00296E4C"/>
    <w:rsid w:val="00297239"/>
    <w:rsid w:val="00297E46"/>
    <w:rsid w:val="002A0553"/>
    <w:rsid w:val="002A3111"/>
    <w:rsid w:val="002A44A9"/>
    <w:rsid w:val="002A4D2E"/>
    <w:rsid w:val="002B0AFD"/>
    <w:rsid w:val="002B0B15"/>
    <w:rsid w:val="002B14B5"/>
    <w:rsid w:val="002B2991"/>
    <w:rsid w:val="002B3C38"/>
    <w:rsid w:val="002B5926"/>
    <w:rsid w:val="002B6FCD"/>
    <w:rsid w:val="002B72A2"/>
    <w:rsid w:val="002B7380"/>
    <w:rsid w:val="002B7901"/>
    <w:rsid w:val="002C1698"/>
    <w:rsid w:val="002C2049"/>
    <w:rsid w:val="002C50AC"/>
    <w:rsid w:val="002C5176"/>
    <w:rsid w:val="002C6682"/>
    <w:rsid w:val="002D0CC4"/>
    <w:rsid w:val="002D0CD4"/>
    <w:rsid w:val="002D22C6"/>
    <w:rsid w:val="002D28A9"/>
    <w:rsid w:val="002D7CBC"/>
    <w:rsid w:val="002E3325"/>
    <w:rsid w:val="002E497E"/>
    <w:rsid w:val="002E76D1"/>
    <w:rsid w:val="002F0500"/>
    <w:rsid w:val="002F1160"/>
    <w:rsid w:val="002F7A8F"/>
    <w:rsid w:val="00301881"/>
    <w:rsid w:val="00303102"/>
    <w:rsid w:val="00307253"/>
    <w:rsid w:val="00307E7E"/>
    <w:rsid w:val="00310E2F"/>
    <w:rsid w:val="003172DF"/>
    <w:rsid w:val="003177AF"/>
    <w:rsid w:val="00320015"/>
    <w:rsid w:val="00321AE8"/>
    <w:rsid w:val="00322CF1"/>
    <w:rsid w:val="00327439"/>
    <w:rsid w:val="003274DC"/>
    <w:rsid w:val="00327F8D"/>
    <w:rsid w:val="003301F8"/>
    <w:rsid w:val="00330746"/>
    <w:rsid w:val="00331400"/>
    <w:rsid w:val="003322D8"/>
    <w:rsid w:val="003343C4"/>
    <w:rsid w:val="00334497"/>
    <w:rsid w:val="00340CA2"/>
    <w:rsid w:val="00341E98"/>
    <w:rsid w:val="00347B43"/>
    <w:rsid w:val="0035034F"/>
    <w:rsid w:val="003524F1"/>
    <w:rsid w:val="00352F7A"/>
    <w:rsid w:val="00356DCD"/>
    <w:rsid w:val="0036129D"/>
    <w:rsid w:val="00364C9F"/>
    <w:rsid w:val="00366ABC"/>
    <w:rsid w:val="00370EB8"/>
    <w:rsid w:val="00371045"/>
    <w:rsid w:val="00371B42"/>
    <w:rsid w:val="00372ACE"/>
    <w:rsid w:val="00372D58"/>
    <w:rsid w:val="003731A5"/>
    <w:rsid w:val="003736DA"/>
    <w:rsid w:val="00373731"/>
    <w:rsid w:val="00374CFA"/>
    <w:rsid w:val="003751F0"/>
    <w:rsid w:val="0037564F"/>
    <w:rsid w:val="00382A16"/>
    <w:rsid w:val="00384699"/>
    <w:rsid w:val="003866DC"/>
    <w:rsid w:val="003872AC"/>
    <w:rsid w:val="003900AC"/>
    <w:rsid w:val="00390999"/>
    <w:rsid w:val="003911D6"/>
    <w:rsid w:val="00391EEB"/>
    <w:rsid w:val="00394B7B"/>
    <w:rsid w:val="00395B87"/>
    <w:rsid w:val="00397E34"/>
    <w:rsid w:val="003A0565"/>
    <w:rsid w:val="003A0BB4"/>
    <w:rsid w:val="003A2CC7"/>
    <w:rsid w:val="003A415C"/>
    <w:rsid w:val="003A68DD"/>
    <w:rsid w:val="003A75FD"/>
    <w:rsid w:val="003A7DAF"/>
    <w:rsid w:val="003B3BF6"/>
    <w:rsid w:val="003B4278"/>
    <w:rsid w:val="003B6B7E"/>
    <w:rsid w:val="003C06F7"/>
    <w:rsid w:val="003C1594"/>
    <w:rsid w:val="003C19B7"/>
    <w:rsid w:val="003C4059"/>
    <w:rsid w:val="003C50F1"/>
    <w:rsid w:val="003C511D"/>
    <w:rsid w:val="003C6392"/>
    <w:rsid w:val="003C681A"/>
    <w:rsid w:val="003C7010"/>
    <w:rsid w:val="003C7DAE"/>
    <w:rsid w:val="003D2083"/>
    <w:rsid w:val="003D2B0F"/>
    <w:rsid w:val="003D626C"/>
    <w:rsid w:val="003E03EB"/>
    <w:rsid w:val="003E0642"/>
    <w:rsid w:val="003E1363"/>
    <w:rsid w:val="003E54FD"/>
    <w:rsid w:val="003F142F"/>
    <w:rsid w:val="003F2486"/>
    <w:rsid w:val="003F2E64"/>
    <w:rsid w:val="003F6488"/>
    <w:rsid w:val="003F69CE"/>
    <w:rsid w:val="003F69D9"/>
    <w:rsid w:val="003F6F64"/>
    <w:rsid w:val="003F7813"/>
    <w:rsid w:val="00400B6B"/>
    <w:rsid w:val="004021B9"/>
    <w:rsid w:val="00402409"/>
    <w:rsid w:val="00404DB5"/>
    <w:rsid w:val="00405D0D"/>
    <w:rsid w:val="004113D5"/>
    <w:rsid w:val="004118D0"/>
    <w:rsid w:val="004125BB"/>
    <w:rsid w:val="00412819"/>
    <w:rsid w:val="0041337E"/>
    <w:rsid w:val="004177E3"/>
    <w:rsid w:val="004202CB"/>
    <w:rsid w:val="00420D53"/>
    <w:rsid w:val="004238B6"/>
    <w:rsid w:val="00424771"/>
    <w:rsid w:val="00425B35"/>
    <w:rsid w:val="00427801"/>
    <w:rsid w:val="0043115E"/>
    <w:rsid w:val="00431E52"/>
    <w:rsid w:val="00433AB4"/>
    <w:rsid w:val="0043546F"/>
    <w:rsid w:val="004428A1"/>
    <w:rsid w:val="00443C2E"/>
    <w:rsid w:val="004444B6"/>
    <w:rsid w:val="00445D92"/>
    <w:rsid w:val="00447E3C"/>
    <w:rsid w:val="0045291A"/>
    <w:rsid w:val="00452BD8"/>
    <w:rsid w:val="004539E4"/>
    <w:rsid w:val="004544F8"/>
    <w:rsid w:val="00454D44"/>
    <w:rsid w:val="00455259"/>
    <w:rsid w:val="00455A3C"/>
    <w:rsid w:val="0046155B"/>
    <w:rsid w:val="004634EE"/>
    <w:rsid w:val="00463E8F"/>
    <w:rsid w:val="00464475"/>
    <w:rsid w:val="00466116"/>
    <w:rsid w:val="00467BA4"/>
    <w:rsid w:val="004705A5"/>
    <w:rsid w:val="0047156B"/>
    <w:rsid w:val="004715F4"/>
    <w:rsid w:val="0047275D"/>
    <w:rsid w:val="00475575"/>
    <w:rsid w:val="004761F2"/>
    <w:rsid w:val="00480C04"/>
    <w:rsid w:val="00480E25"/>
    <w:rsid w:val="00484077"/>
    <w:rsid w:val="00484668"/>
    <w:rsid w:val="004863EC"/>
    <w:rsid w:val="00487542"/>
    <w:rsid w:val="0049074E"/>
    <w:rsid w:val="004907F4"/>
    <w:rsid w:val="00493172"/>
    <w:rsid w:val="0049538C"/>
    <w:rsid w:val="004955BB"/>
    <w:rsid w:val="004A0EA9"/>
    <w:rsid w:val="004A3C5B"/>
    <w:rsid w:val="004A461C"/>
    <w:rsid w:val="004A47DC"/>
    <w:rsid w:val="004A52B6"/>
    <w:rsid w:val="004B29BE"/>
    <w:rsid w:val="004B366C"/>
    <w:rsid w:val="004B3A45"/>
    <w:rsid w:val="004B4063"/>
    <w:rsid w:val="004B4F7D"/>
    <w:rsid w:val="004B4F84"/>
    <w:rsid w:val="004B5505"/>
    <w:rsid w:val="004B55E8"/>
    <w:rsid w:val="004B5CB6"/>
    <w:rsid w:val="004C2FA8"/>
    <w:rsid w:val="004C3497"/>
    <w:rsid w:val="004C352C"/>
    <w:rsid w:val="004C3BA7"/>
    <w:rsid w:val="004C5035"/>
    <w:rsid w:val="004C5F47"/>
    <w:rsid w:val="004D1014"/>
    <w:rsid w:val="004D3633"/>
    <w:rsid w:val="004E1CB1"/>
    <w:rsid w:val="004E2D7E"/>
    <w:rsid w:val="004E4B6A"/>
    <w:rsid w:val="004E6300"/>
    <w:rsid w:val="004F1DDB"/>
    <w:rsid w:val="004F2995"/>
    <w:rsid w:val="004F324F"/>
    <w:rsid w:val="004F4064"/>
    <w:rsid w:val="004F5136"/>
    <w:rsid w:val="004F688F"/>
    <w:rsid w:val="004F7624"/>
    <w:rsid w:val="005007C8"/>
    <w:rsid w:val="005021C7"/>
    <w:rsid w:val="00502D84"/>
    <w:rsid w:val="00505FAA"/>
    <w:rsid w:val="00506ACA"/>
    <w:rsid w:val="00506CD0"/>
    <w:rsid w:val="005107FD"/>
    <w:rsid w:val="00510980"/>
    <w:rsid w:val="00512AEC"/>
    <w:rsid w:val="00512D81"/>
    <w:rsid w:val="0051504C"/>
    <w:rsid w:val="005172B1"/>
    <w:rsid w:val="005206E2"/>
    <w:rsid w:val="00521ADE"/>
    <w:rsid w:val="0052268E"/>
    <w:rsid w:val="0052280A"/>
    <w:rsid w:val="005248D0"/>
    <w:rsid w:val="00524BC3"/>
    <w:rsid w:val="00525B77"/>
    <w:rsid w:val="0053070C"/>
    <w:rsid w:val="005314DF"/>
    <w:rsid w:val="005331B5"/>
    <w:rsid w:val="00534D3B"/>
    <w:rsid w:val="005351B3"/>
    <w:rsid w:val="005420B4"/>
    <w:rsid w:val="005437B4"/>
    <w:rsid w:val="0054471F"/>
    <w:rsid w:val="00544A64"/>
    <w:rsid w:val="005459F5"/>
    <w:rsid w:val="00545B68"/>
    <w:rsid w:val="00546CB9"/>
    <w:rsid w:val="00546DF7"/>
    <w:rsid w:val="0055121B"/>
    <w:rsid w:val="00551751"/>
    <w:rsid w:val="00552B6E"/>
    <w:rsid w:val="00556D4F"/>
    <w:rsid w:val="00557A71"/>
    <w:rsid w:val="00560AED"/>
    <w:rsid w:val="0056231D"/>
    <w:rsid w:val="005623DD"/>
    <w:rsid w:val="00563B23"/>
    <w:rsid w:val="0056452E"/>
    <w:rsid w:val="005656FB"/>
    <w:rsid w:val="00567010"/>
    <w:rsid w:val="005678EB"/>
    <w:rsid w:val="00570CA6"/>
    <w:rsid w:val="00570F18"/>
    <w:rsid w:val="0057123D"/>
    <w:rsid w:val="005720AF"/>
    <w:rsid w:val="0057387E"/>
    <w:rsid w:val="00576443"/>
    <w:rsid w:val="00583941"/>
    <w:rsid w:val="005847DC"/>
    <w:rsid w:val="005856EF"/>
    <w:rsid w:val="00585CC6"/>
    <w:rsid w:val="00591893"/>
    <w:rsid w:val="00592351"/>
    <w:rsid w:val="00593457"/>
    <w:rsid w:val="00594851"/>
    <w:rsid w:val="00594C42"/>
    <w:rsid w:val="00594CEF"/>
    <w:rsid w:val="00596841"/>
    <w:rsid w:val="0059684A"/>
    <w:rsid w:val="005A0345"/>
    <w:rsid w:val="005A0903"/>
    <w:rsid w:val="005A1633"/>
    <w:rsid w:val="005A2203"/>
    <w:rsid w:val="005A25B7"/>
    <w:rsid w:val="005A26EE"/>
    <w:rsid w:val="005A33F3"/>
    <w:rsid w:val="005A3C0F"/>
    <w:rsid w:val="005A3EC1"/>
    <w:rsid w:val="005A5AB1"/>
    <w:rsid w:val="005A658B"/>
    <w:rsid w:val="005B1B79"/>
    <w:rsid w:val="005B2F2A"/>
    <w:rsid w:val="005B33DF"/>
    <w:rsid w:val="005B6F85"/>
    <w:rsid w:val="005C00A9"/>
    <w:rsid w:val="005C20F7"/>
    <w:rsid w:val="005C4078"/>
    <w:rsid w:val="005C5039"/>
    <w:rsid w:val="005C5B2D"/>
    <w:rsid w:val="005C74D1"/>
    <w:rsid w:val="005C7C7C"/>
    <w:rsid w:val="005D0735"/>
    <w:rsid w:val="005D1C98"/>
    <w:rsid w:val="005D37B5"/>
    <w:rsid w:val="005D3B85"/>
    <w:rsid w:val="005D3F78"/>
    <w:rsid w:val="005D49F1"/>
    <w:rsid w:val="005D5B6F"/>
    <w:rsid w:val="005D6494"/>
    <w:rsid w:val="005D72C2"/>
    <w:rsid w:val="005D79E1"/>
    <w:rsid w:val="005D7C68"/>
    <w:rsid w:val="005E1A38"/>
    <w:rsid w:val="005E2179"/>
    <w:rsid w:val="005E27A3"/>
    <w:rsid w:val="005E2AA8"/>
    <w:rsid w:val="005E45D5"/>
    <w:rsid w:val="005E616C"/>
    <w:rsid w:val="005E6624"/>
    <w:rsid w:val="005E66A3"/>
    <w:rsid w:val="006031EF"/>
    <w:rsid w:val="006044C8"/>
    <w:rsid w:val="00604C17"/>
    <w:rsid w:val="006108D1"/>
    <w:rsid w:val="00611055"/>
    <w:rsid w:val="00611687"/>
    <w:rsid w:val="00612491"/>
    <w:rsid w:val="00613269"/>
    <w:rsid w:val="00614F7E"/>
    <w:rsid w:val="0061601E"/>
    <w:rsid w:val="00617053"/>
    <w:rsid w:val="00617E2A"/>
    <w:rsid w:val="00620ECE"/>
    <w:rsid w:val="0062106A"/>
    <w:rsid w:val="006226CD"/>
    <w:rsid w:val="00622E77"/>
    <w:rsid w:val="00623758"/>
    <w:rsid w:val="00624AE2"/>
    <w:rsid w:val="00624DDA"/>
    <w:rsid w:val="00627B44"/>
    <w:rsid w:val="00627C23"/>
    <w:rsid w:val="00631992"/>
    <w:rsid w:val="00632705"/>
    <w:rsid w:val="00640475"/>
    <w:rsid w:val="006404A9"/>
    <w:rsid w:val="006419BA"/>
    <w:rsid w:val="00641D35"/>
    <w:rsid w:val="00641F34"/>
    <w:rsid w:val="006440ED"/>
    <w:rsid w:val="00645857"/>
    <w:rsid w:val="00652AEE"/>
    <w:rsid w:val="00653433"/>
    <w:rsid w:val="00653727"/>
    <w:rsid w:val="00653C29"/>
    <w:rsid w:val="00654B04"/>
    <w:rsid w:val="0065650A"/>
    <w:rsid w:val="00656EB3"/>
    <w:rsid w:val="006573B5"/>
    <w:rsid w:val="00657D5A"/>
    <w:rsid w:val="00660480"/>
    <w:rsid w:val="00661FF2"/>
    <w:rsid w:val="00662C87"/>
    <w:rsid w:val="0066345D"/>
    <w:rsid w:val="00670027"/>
    <w:rsid w:val="00675EB3"/>
    <w:rsid w:val="00676843"/>
    <w:rsid w:val="00677228"/>
    <w:rsid w:val="006801CA"/>
    <w:rsid w:val="00680B56"/>
    <w:rsid w:val="00680C92"/>
    <w:rsid w:val="00682746"/>
    <w:rsid w:val="00683717"/>
    <w:rsid w:val="00684132"/>
    <w:rsid w:val="006844B9"/>
    <w:rsid w:val="00685B75"/>
    <w:rsid w:val="006867CC"/>
    <w:rsid w:val="00690740"/>
    <w:rsid w:val="00690C50"/>
    <w:rsid w:val="00692EE8"/>
    <w:rsid w:val="00694CCF"/>
    <w:rsid w:val="0069509B"/>
    <w:rsid w:val="00696362"/>
    <w:rsid w:val="006A04AE"/>
    <w:rsid w:val="006A0E52"/>
    <w:rsid w:val="006A25B4"/>
    <w:rsid w:val="006A30DB"/>
    <w:rsid w:val="006A3949"/>
    <w:rsid w:val="006A4A62"/>
    <w:rsid w:val="006A7552"/>
    <w:rsid w:val="006B01B9"/>
    <w:rsid w:val="006B0439"/>
    <w:rsid w:val="006B0D10"/>
    <w:rsid w:val="006B0EC2"/>
    <w:rsid w:val="006B13D4"/>
    <w:rsid w:val="006B3ABE"/>
    <w:rsid w:val="006B4A52"/>
    <w:rsid w:val="006B5383"/>
    <w:rsid w:val="006B6A37"/>
    <w:rsid w:val="006B6F61"/>
    <w:rsid w:val="006D0805"/>
    <w:rsid w:val="006D0AA8"/>
    <w:rsid w:val="006D4517"/>
    <w:rsid w:val="006D5F3A"/>
    <w:rsid w:val="006D6BCD"/>
    <w:rsid w:val="006D7B5A"/>
    <w:rsid w:val="006E1E9E"/>
    <w:rsid w:val="006E4279"/>
    <w:rsid w:val="006E4913"/>
    <w:rsid w:val="006E5555"/>
    <w:rsid w:val="006E5B47"/>
    <w:rsid w:val="006E7DAC"/>
    <w:rsid w:val="006F15CC"/>
    <w:rsid w:val="006F1CCA"/>
    <w:rsid w:val="006F2C0E"/>
    <w:rsid w:val="006F4F09"/>
    <w:rsid w:val="006F640B"/>
    <w:rsid w:val="0070043C"/>
    <w:rsid w:val="007046FB"/>
    <w:rsid w:val="00705A61"/>
    <w:rsid w:val="00710424"/>
    <w:rsid w:val="007109F6"/>
    <w:rsid w:val="00713F83"/>
    <w:rsid w:val="00715F45"/>
    <w:rsid w:val="00716604"/>
    <w:rsid w:val="0071719A"/>
    <w:rsid w:val="0071726D"/>
    <w:rsid w:val="007176A7"/>
    <w:rsid w:val="007178FF"/>
    <w:rsid w:val="007204B4"/>
    <w:rsid w:val="00720781"/>
    <w:rsid w:val="00722B07"/>
    <w:rsid w:val="00722BC9"/>
    <w:rsid w:val="00723632"/>
    <w:rsid w:val="007238DA"/>
    <w:rsid w:val="00725052"/>
    <w:rsid w:val="00725C3B"/>
    <w:rsid w:val="00727027"/>
    <w:rsid w:val="0073000D"/>
    <w:rsid w:val="0073022F"/>
    <w:rsid w:val="00731F2B"/>
    <w:rsid w:val="00734AFD"/>
    <w:rsid w:val="00735E32"/>
    <w:rsid w:val="00736BEA"/>
    <w:rsid w:val="00740095"/>
    <w:rsid w:val="00742862"/>
    <w:rsid w:val="00742FD0"/>
    <w:rsid w:val="00745DD0"/>
    <w:rsid w:val="00746455"/>
    <w:rsid w:val="00746F96"/>
    <w:rsid w:val="00750405"/>
    <w:rsid w:val="00751546"/>
    <w:rsid w:val="007541CE"/>
    <w:rsid w:val="007545E5"/>
    <w:rsid w:val="00755577"/>
    <w:rsid w:val="00756B91"/>
    <w:rsid w:val="00757E96"/>
    <w:rsid w:val="00760A86"/>
    <w:rsid w:val="0076741B"/>
    <w:rsid w:val="00770C0E"/>
    <w:rsid w:val="00771D19"/>
    <w:rsid w:val="0077277F"/>
    <w:rsid w:val="00774584"/>
    <w:rsid w:val="007747BE"/>
    <w:rsid w:val="00781625"/>
    <w:rsid w:val="00781792"/>
    <w:rsid w:val="00781A3A"/>
    <w:rsid w:val="00782512"/>
    <w:rsid w:val="007826B4"/>
    <w:rsid w:val="0078405C"/>
    <w:rsid w:val="00785A6D"/>
    <w:rsid w:val="00786B68"/>
    <w:rsid w:val="00792CC3"/>
    <w:rsid w:val="007947C6"/>
    <w:rsid w:val="00794CF3"/>
    <w:rsid w:val="00794E4C"/>
    <w:rsid w:val="00795109"/>
    <w:rsid w:val="0079614E"/>
    <w:rsid w:val="007A0160"/>
    <w:rsid w:val="007A3937"/>
    <w:rsid w:val="007A40C6"/>
    <w:rsid w:val="007A4F20"/>
    <w:rsid w:val="007A6AA0"/>
    <w:rsid w:val="007A6B19"/>
    <w:rsid w:val="007B3045"/>
    <w:rsid w:val="007B49DF"/>
    <w:rsid w:val="007B4B6D"/>
    <w:rsid w:val="007B5296"/>
    <w:rsid w:val="007B655B"/>
    <w:rsid w:val="007B67AD"/>
    <w:rsid w:val="007B7639"/>
    <w:rsid w:val="007C00BA"/>
    <w:rsid w:val="007C18F2"/>
    <w:rsid w:val="007C1AC1"/>
    <w:rsid w:val="007C1FEC"/>
    <w:rsid w:val="007C46D1"/>
    <w:rsid w:val="007C5731"/>
    <w:rsid w:val="007C730D"/>
    <w:rsid w:val="007C7393"/>
    <w:rsid w:val="007D391B"/>
    <w:rsid w:val="007D6974"/>
    <w:rsid w:val="007D7780"/>
    <w:rsid w:val="007E06B8"/>
    <w:rsid w:val="007E0A4B"/>
    <w:rsid w:val="007E326A"/>
    <w:rsid w:val="007E3EDF"/>
    <w:rsid w:val="007E541D"/>
    <w:rsid w:val="007F1637"/>
    <w:rsid w:val="007F1B11"/>
    <w:rsid w:val="007F1FBA"/>
    <w:rsid w:val="007F4ABD"/>
    <w:rsid w:val="007F7212"/>
    <w:rsid w:val="007F74CA"/>
    <w:rsid w:val="007F7B5C"/>
    <w:rsid w:val="00800307"/>
    <w:rsid w:val="00800365"/>
    <w:rsid w:val="00800399"/>
    <w:rsid w:val="008014EC"/>
    <w:rsid w:val="008029BA"/>
    <w:rsid w:val="008075EA"/>
    <w:rsid w:val="008111C3"/>
    <w:rsid w:val="00812CF5"/>
    <w:rsid w:val="00813471"/>
    <w:rsid w:val="00814198"/>
    <w:rsid w:val="00814390"/>
    <w:rsid w:val="00814679"/>
    <w:rsid w:val="00814849"/>
    <w:rsid w:val="00821F46"/>
    <w:rsid w:val="00822050"/>
    <w:rsid w:val="00822B92"/>
    <w:rsid w:val="00825D4F"/>
    <w:rsid w:val="00827DBA"/>
    <w:rsid w:val="00830D57"/>
    <w:rsid w:val="00832A31"/>
    <w:rsid w:val="00835916"/>
    <w:rsid w:val="0083650C"/>
    <w:rsid w:val="0084045B"/>
    <w:rsid w:val="00841B72"/>
    <w:rsid w:val="0084658D"/>
    <w:rsid w:val="0084695E"/>
    <w:rsid w:val="00850650"/>
    <w:rsid w:val="008524C4"/>
    <w:rsid w:val="0085268C"/>
    <w:rsid w:val="00854ABD"/>
    <w:rsid w:val="00856ED6"/>
    <w:rsid w:val="00864A50"/>
    <w:rsid w:val="00865C11"/>
    <w:rsid w:val="00866290"/>
    <w:rsid w:val="00866978"/>
    <w:rsid w:val="00866D9F"/>
    <w:rsid w:val="00871D3C"/>
    <w:rsid w:val="00872129"/>
    <w:rsid w:val="00872DC6"/>
    <w:rsid w:val="008730BC"/>
    <w:rsid w:val="00874D66"/>
    <w:rsid w:val="0087590B"/>
    <w:rsid w:val="00877D54"/>
    <w:rsid w:val="0088208A"/>
    <w:rsid w:val="00882EAC"/>
    <w:rsid w:val="0088306B"/>
    <w:rsid w:val="008874FC"/>
    <w:rsid w:val="0088798F"/>
    <w:rsid w:val="00890B69"/>
    <w:rsid w:val="008933DC"/>
    <w:rsid w:val="008936B3"/>
    <w:rsid w:val="008958D8"/>
    <w:rsid w:val="008976A7"/>
    <w:rsid w:val="008A0E63"/>
    <w:rsid w:val="008A114F"/>
    <w:rsid w:val="008A2257"/>
    <w:rsid w:val="008A33CE"/>
    <w:rsid w:val="008B1F88"/>
    <w:rsid w:val="008B298E"/>
    <w:rsid w:val="008B2B89"/>
    <w:rsid w:val="008B31D3"/>
    <w:rsid w:val="008B333F"/>
    <w:rsid w:val="008B383F"/>
    <w:rsid w:val="008B38AD"/>
    <w:rsid w:val="008B3FBF"/>
    <w:rsid w:val="008B44DA"/>
    <w:rsid w:val="008B4A06"/>
    <w:rsid w:val="008B5C9A"/>
    <w:rsid w:val="008B5CEA"/>
    <w:rsid w:val="008B694C"/>
    <w:rsid w:val="008C00E7"/>
    <w:rsid w:val="008C0F42"/>
    <w:rsid w:val="008C1EF2"/>
    <w:rsid w:val="008C3B68"/>
    <w:rsid w:val="008C5253"/>
    <w:rsid w:val="008C5686"/>
    <w:rsid w:val="008C6BFB"/>
    <w:rsid w:val="008C6D1F"/>
    <w:rsid w:val="008C7321"/>
    <w:rsid w:val="008C74DA"/>
    <w:rsid w:val="008C7C59"/>
    <w:rsid w:val="008D094A"/>
    <w:rsid w:val="008D1E99"/>
    <w:rsid w:val="008D6465"/>
    <w:rsid w:val="008E150C"/>
    <w:rsid w:val="008E1EFC"/>
    <w:rsid w:val="008E58BF"/>
    <w:rsid w:val="008F1A81"/>
    <w:rsid w:val="00900CE5"/>
    <w:rsid w:val="00902C6A"/>
    <w:rsid w:val="00904CA9"/>
    <w:rsid w:val="00905911"/>
    <w:rsid w:val="00906476"/>
    <w:rsid w:val="00906A9A"/>
    <w:rsid w:val="00907061"/>
    <w:rsid w:val="00907834"/>
    <w:rsid w:val="0090788B"/>
    <w:rsid w:val="009079B2"/>
    <w:rsid w:val="009118A0"/>
    <w:rsid w:val="00913D48"/>
    <w:rsid w:val="009145F6"/>
    <w:rsid w:val="00917246"/>
    <w:rsid w:val="00917547"/>
    <w:rsid w:val="0091759A"/>
    <w:rsid w:val="00920540"/>
    <w:rsid w:val="00920F36"/>
    <w:rsid w:val="00922697"/>
    <w:rsid w:val="00922F8C"/>
    <w:rsid w:val="0092325A"/>
    <w:rsid w:val="00924BD8"/>
    <w:rsid w:val="009262FA"/>
    <w:rsid w:val="00927A82"/>
    <w:rsid w:val="009314DA"/>
    <w:rsid w:val="00931700"/>
    <w:rsid w:val="00933951"/>
    <w:rsid w:val="00935B43"/>
    <w:rsid w:val="009364E2"/>
    <w:rsid w:val="009371D6"/>
    <w:rsid w:val="00937BFF"/>
    <w:rsid w:val="009410FA"/>
    <w:rsid w:val="009430F7"/>
    <w:rsid w:val="00945D30"/>
    <w:rsid w:val="00946916"/>
    <w:rsid w:val="009475A6"/>
    <w:rsid w:val="00950C28"/>
    <w:rsid w:val="00951993"/>
    <w:rsid w:val="00953E57"/>
    <w:rsid w:val="00954CC0"/>
    <w:rsid w:val="00955C25"/>
    <w:rsid w:val="00956BB5"/>
    <w:rsid w:val="00957676"/>
    <w:rsid w:val="009621B2"/>
    <w:rsid w:val="00963A1A"/>
    <w:rsid w:val="00964590"/>
    <w:rsid w:val="0096654A"/>
    <w:rsid w:val="00971187"/>
    <w:rsid w:val="00971196"/>
    <w:rsid w:val="00973755"/>
    <w:rsid w:val="00980736"/>
    <w:rsid w:val="00981704"/>
    <w:rsid w:val="0098182C"/>
    <w:rsid w:val="00983F39"/>
    <w:rsid w:val="00984390"/>
    <w:rsid w:val="00985839"/>
    <w:rsid w:val="00992952"/>
    <w:rsid w:val="00992D61"/>
    <w:rsid w:val="00995C91"/>
    <w:rsid w:val="00995EE7"/>
    <w:rsid w:val="00996BF1"/>
    <w:rsid w:val="00997009"/>
    <w:rsid w:val="0099745E"/>
    <w:rsid w:val="009A03A3"/>
    <w:rsid w:val="009A2ACF"/>
    <w:rsid w:val="009A481E"/>
    <w:rsid w:val="009B06F1"/>
    <w:rsid w:val="009B3397"/>
    <w:rsid w:val="009B34F2"/>
    <w:rsid w:val="009B3C36"/>
    <w:rsid w:val="009B51E3"/>
    <w:rsid w:val="009B5654"/>
    <w:rsid w:val="009B7220"/>
    <w:rsid w:val="009B76CB"/>
    <w:rsid w:val="009B7D6C"/>
    <w:rsid w:val="009C04EB"/>
    <w:rsid w:val="009C1AD6"/>
    <w:rsid w:val="009C28E1"/>
    <w:rsid w:val="009C2915"/>
    <w:rsid w:val="009C2E55"/>
    <w:rsid w:val="009C3DB4"/>
    <w:rsid w:val="009C3F13"/>
    <w:rsid w:val="009C5A80"/>
    <w:rsid w:val="009C7C8F"/>
    <w:rsid w:val="009D0450"/>
    <w:rsid w:val="009D1594"/>
    <w:rsid w:val="009D1FBA"/>
    <w:rsid w:val="009D332F"/>
    <w:rsid w:val="009D580B"/>
    <w:rsid w:val="009D6294"/>
    <w:rsid w:val="009E05B6"/>
    <w:rsid w:val="009E6ACF"/>
    <w:rsid w:val="009F0C32"/>
    <w:rsid w:val="009F461F"/>
    <w:rsid w:val="00A006D3"/>
    <w:rsid w:val="00A01305"/>
    <w:rsid w:val="00A01EEF"/>
    <w:rsid w:val="00A0259C"/>
    <w:rsid w:val="00A036CB"/>
    <w:rsid w:val="00A0546A"/>
    <w:rsid w:val="00A061CA"/>
    <w:rsid w:val="00A06AAA"/>
    <w:rsid w:val="00A10E38"/>
    <w:rsid w:val="00A12ECE"/>
    <w:rsid w:val="00A135B3"/>
    <w:rsid w:val="00A1434D"/>
    <w:rsid w:val="00A14953"/>
    <w:rsid w:val="00A167B9"/>
    <w:rsid w:val="00A176A1"/>
    <w:rsid w:val="00A17DB5"/>
    <w:rsid w:val="00A20A09"/>
    <w:rsid w:val="00A20C64"/>
    <w:rsid w:val="00A22A14"/>
    <w:rsid w:val="00A23526"/>
    <w:rsid w:val="00A27149"/>
    <w:rsid w:val="00A2793B"/>
    <w:rsid w:val="00A30105"/>
    <w:rsid w:val="00A31ADE"/>
    <w:rsid w:val="00A35D3C"/>
    <w:rsid w:val="00A3616F"/>
    <w:rsid w:val="00A41C95"/>
    <w:rsid w:val="00A442F1"/>
    <w:rsid w:val="00A46ABD"/>
    <w:rsid w:val="00A46C18"/>
    <w:rsid w:val="00A470CE"/>
    <w:rsid w:val="00A50344"/>
    <w:rsid w:val="00A503E9"/>
    <w:rsid w:val="00A50E65"/>
    <w:rsid w:val="00A52E2E"/>
    <w:rsid w:val="00A5613C"/>
    <w:rsid w:val="00A570EE"/>
    <w:rsid w:val="00A57C48"/>
    <w:rsid w:val="00A57EB2"/>
    <w:rsid w:val="00A62463"/>
    <w:rsid w:val="00A6391E"/>
    <w:rsid w:val="00A649D3"/>
    <w:rsid w:val="00A656FD"/>
    <w:rsid w:val="00A6645C"/>
    <w:rsid w:val="00A70863"/>
    <w:rsid w:val="00A727FC"/>
    <w:rsid w:val="00A72E35"/>
    <w:rsid w:val="00A7300A"/>
    <w:rsid w:val="00A7414F"/>
    <w:rsid w:val="00A7627C"/>
    <w:rsid w:val="00A81405"/>
    <w:rsid w:val="00A82114"/>
    <w:rsid w:val="00A82FF0"/>
    <w:rsid w:val="00A92670"/>
    <w:rsid w:val="00A96434"/>
    <w:rsid w:val="00AA2944"/>
    <w:rsid w:val="00AA3179"/>
    <w:rsid w:val="00AB0B41"/>
    <w:rsid w:val="00AB1635"/>
    <w:rsid w:val="00AB297D"/>
    <w:rsid w:val="00AB7830"/>
    <w:rsid w:val="00AC031E"/>
    <w:rsid w:val="00AC31F2"/>
    <w:rsid w:val="00AC35C4"/>
    <w:rsid w:val="00AC4154"/>
    <w:rsid w:val="00AC587E"/>
    <w:rsid w:val="00AD18B4"/>
    <w:rsid w:val="00AD4FB0"/>
    <w:rsid w:val="00AD7F13"/>
    <w:rsid w:val="00AE117D"/>
    <w:rsid w:val="00AE1842"/>
    <w:rsid w:val="00AE1843"/>
    <w:rsid w:val="00AE23F9"/>
    <w:rsid w:val="00AE2430"/>
    <w:rsid w:val="00AE4000"/>
    <w:rsid w:val="00AE52CE"/>
    <w:rsid w:val="00AE5452"/>
    <w:rsid w:val="00AE6188"/>
    <w:rsid w:val="00AE7AF0"/>
    <w:rsid w:val="00AF4AE5"/>
    <w:rsid w:val="00AF6D11"/>
    <w:rsid w:val="00B01B17"/>
    <w:rsid w:val="00B04103"/>
    <w:rsid w:val="00B047E9"/>
    <w:rsid w:val="00B05867"/>
    <w:rsid w:val="00B07BDD"/>
    <w:rsid w:val="00B10EC0"/>
    <w:rsid w:val="00B123FF"/>
    <w:rsid w:val="00B134B6"/>
    <w:rsid w:val="00B142F4"/>
    <w:rsid w:val="00B1645D"/>
    <w:rsid w:val="00B16CC2"/>
    <w:rsid w:val="00B17E1E"/>
    <w:rsid w:val="00B21C56"/>
    <w:rsid w:val="00B24AE7"/>
    <w:rsid w:val="00B25103"/>
    <w:rsid w:val="00B27A8F"/>
    <w:rsid w:val="00B27B2E"/>
    <w:rsid w:val="00B31D2B"/>
    <w:rsid w:val="00B31E2C"/>
    <w:rsid w:val="00B336AA"/>
    <w:rsid w:val="00B34173"/>
    <w:rsid w:val="00B362ED"/>
    <w:rsid w:val="00B4166B"/>
    <w:rsid w:val="00B418ED"/>
    <w:rsid w:val="00B42703"/>
    <w:rsid w:val="00B43502"/>
    <w:rsid w:val="00B4391E"/>
    <w:rsid w:val="00B46384"/>
    <w:rsid w:val="00B513B4"/>
    <w:rsid w:val="00B514DC"/>
    <w:rsid w:val="00B522AA"/>
    <w:rsid w:val="00B60A84"/>
    <w:rsid w:val="00B60AED"/>
    <w:rsid w:val="00B60B0D"/>
    <w:rsid w:val="00B627D5"/>
    <w:rsid w:val="00B62AB3"/>
    <w:rsid w:val="00B63B5B"/>
    <w:rsid w:val="00B64E9D"/>
    <w:rsid w:val="00B678D4"/>
    <w:rsid w:val="00B708E8"/>
    <w:rsid w:val="00B7404A"/>
    <w:rsid w:val="00B75AC6"/>
    <w:rsid w:val="00B81F91"/>
    <w:rsid w:val="00B839BA"/>
    <w:rsid w:val="00B8685C"/>
    <w:rsid w:val="00B86C35"/>
    <w:rsid w:val="00B86DD8"/>
    <w:rsid w:val="00B87C14"/>
    <w:rsid w:val="00B92703"/>
    <w:rsid w:val="00B93072"/>
    <w:rsid w:val="00B94EFB"/>
    <w:rsid w:val="00B9564E"/>
    <w:rsid w:val="00B96525"/>
    <w:rsid w:val="00B97C18"/>
    <w:rsid w:val="00B97EC1"/>
    <w:rsid w:val="00BA1692"/>
    <w:rsid w:val="00BA1BBA"/>
    <w:rsid w:val="00BA2267"/>
    <w:rsid w:val="00BA2E58"/>
    <w:rsid w:val="00BA3C49"/>
    <w:rsid w:val="00BA54F1"/>
    <w:rsid w:val="00BB07FC"/>
    <w:rsid w:val="00BB0B67"/>
    <w:rsid w:val="00BB2970"/>
    <w:rsid w:val="00BC34F6"/>
    <w:rsid w:val="00BC4EF0"/>
    <w:rsid w:val="00BC6E99"/>
    <w:rsid w:val="00BC7C00"/>
    <w:rsid w:val="00BD0CA7"/>
    <w:rsid w:val="00BD1EFB"/>
    <w:rsid w:val="00BD223A"/>
    <w:rsid w:val="00BD57C8"/>
    <w:rsid w:val="00BD5879"/>
    <w:rsid w:val="00BD5A0C"/>
    <w:rsid w:val="00BD5B58"/>
    <w:rsid w:val="00BD73F1"/>
    <w:rsid w:val="00BE0E15"/>
    <w:rsid w:val="00BE3D8C"/>
    <w:rsid w:val="00BE4D14"/>
    <w:rsid w:val="00BE5CF2"/>
    <w:rsid w:val="00BE72E5"/>
    <w:rsid w:val="00BF067E"/>
    <w:rsid w:val="00BF22E7"/>
    <w:rsid w:val="00BF2883"/>
    <w:rsid w:val="00BF63CC"/>
    <w:rsid w:val="00BF6FA9"/>
    <w:rsid w:val="00BF7497"/>
    <w:rsid w:val="00BF7C90"/>
    <w:rsid w:val="00C02033"/>
    <w:rsid w:val="00C05FD9"/>
    <w:rsid w:val="00C06BBC"/>
    <w:rsid w:val="00C06C54"/>
    <w:rsid w:val="00C07949"/>
    <w:rsid w:val="00C105ED"/>
    <w:rsid w:val="00C109F0"/>
    <w:rsid w:val="00C11925"/>
    <w:rsid w:val="00C120C1"/>
    <w:rsid w:val="00C13AC2"/>
    <w:rsid w:val="00C16BE6"/>
    <w:rsid w:val="00C20BEA"/>
    <w:rsid w:val="00C21E38"/>
    <w:rsid w:val="00C2433C"/>
    <w:rsid w:val="00C24C84"/>
    <w:rsid w:val="00C24D43"/>
    <w:rsid w:val="00C26014"/>
    <w:rsid w:val="00C264F8"/>
    <w:rsid w:val="00C27D23"/>
    <w:rsid w:val="00C31313"/>
    <w:rsid w:val="00C32874"/>
    <w:rsid w:val="00C37286"/>
    <w:rsid w:val="00C41668"/>
    <w:rsid w:val="00C43488"/>
    <w:rsid w:val="00C44F7A"/>
    <w:rsid w:val="00C45666"/>
    <w:rsid w:val="00C47754"/>
    <w:rsid w:val="00C47D30"/>
    <w:rsid w:val="00C500E2"/>
    <w:rsid w:val="00C5024B"/>
    <w:rsid w:val="00C54452"/>
    <w:rsid w:val="00C557BA"/>
    <w:rsid w:val="00C600E8"/>
    <w:rsid w:val="00C62ECF"/>
    <w:rsid w:val="00C64618"/>
    <w:rsid w:val="00C70D0F"/>
    <w:rsid w:val="00C7219E"/>
    <w:rsid w:val="00C72DAA"/>
    <w:rsid w:val="00C745D1"/>
    <w:rsid w:val="00C7758D"/>
    <w:rsid w:val="00C77777"/>
    <w:rsid w:val="00C8318D"/>
    <w:rsid w:val="00C83387"/>
    <w:rsid w:val="00C83AA5"/>
    <w:rsid w:val="00C83C98"/>
    <w:rsid w:val="00C8761B"/>
    <w:rsid w:val="00C913FF"/>
    <w:rsid w:val="00C941AD"/>
    <w:rsid w:val="00C9639A"/>
    <w:rsid w:val="00C97DC8"/>
    <w:rsid w:val="00CA04A9"/>
    <w:rsid w:val="00CA424D"/>
    <w:rsid w:val="00CA4CBC"/>
    <w:rsid w:val="00CA6175"/>
    <w:rsid w:val="00CA74D2"/>
    <w:rsid w:val="00CA77AC"/>
    <w:rsid w:val="00CB089A"/>
    <w:rsid w:val="00CB0974"/>
    <w:rsid w:val="00CB4525"/>
    <w:rsid w:val="00CB5719"/>
    <w:rsid w:val="00CB596E"/>
    <w:rsid w:val="00CB72AF"/>
    <w:rsid w:val="00CB7359"/>
    <w:rsid w:val="00CC0133"/>
    <w:rsid w:val="00CC0B13"/>
    <w:rsid w:val="00CC18C3"/>
    <w:rsid w:val="00CC4530"/>
    <w:rsid w:val="00CC56BB"/>
    <w:rsid w:val="00CC63DD"/>
    <w:rsid w:val="00CC6CA7"/>
    <w:rsid w:val="00CD18B1"/>
    <w:rsid w:val="00CD1D5F"/>
    <w:rsid w:val="00CD28D1"/>
    <w:rsid w:val="00CD30D0"/>
    <w:rsid w:val="00CD54A9"/>
    <w:rsid w:val="00CE124A"/>
    <w:rsid w:val="00CE2A97"/>
    <w:rsid w:val="00CE45DD"/>
    <w:rsid w:val="00CE4D2A"/>
    <w:rsid w:val="00CF0155"/>
    <w:rsid w:val="00CF2C23"/>
    <w:rsid w:val="00CF2EC3"/>
    <w:rsid w:val="00CF3927"/>
    <w:rsid w:val="00CF39E9"/>
    <w:rsid w:val="00CF44B0"/>
    <w:rsid w:val="00CF4C62"/>
    <w:rsid w:val="00CF79CE"/>
    <w:rsid w:val="00D0502F"/>
    <w:rsid w:val="00D0697C"/>
    <w:rsid w:val="00D07F62"/>
    <w:rsid w:val="00D10B90"/>
    <w:rsid w:val="00D113F1"/>
    <w:rsid w:val="00D118DA"/>
    <w:rsid w:val="00D12387"/>
    <w:rsid w:val="00D12577"/>
    <w:rsid w:val="00D13663"/>
    <w:rsid w:val="00D13E3F"/>
    <w:rsid w:val="00D149A1"/>
    <w:rsid w:val="00D17B15"/>
    <w:rsid w:val="00D20884"/>
    <w:rsid w:val="00D20D3E"/>
    <w:rsid w:val="00D22687"/>
    <w:rsid w:val="00D25C07"/>
    <w:rsid w:val="00D260E2"/>
    <w:rsid w:val="00D26951"/>
    <w:rsid w:val="00D2779E"/>
    <w:rsid w:val="00D325C8"/>
    <w:rsid w:val="00D32759"/>
    <w:rsid w:val="00D340A4"/>
    <w:rsid w:val="00D340CA"/>
    <w:rsid w:val="00D34291"/>
    <w:rsid w:val="00D404D5"/>
    <w:rsid w:val="00D40A73"/>
    <w:rsid w:val="00D40EA0"/>
    <w:rsid w:val="00D4240E"/>
    <w:rsid w:val="00D42F1B"/>
    <w:rsid w:val="00D4392D"/>
    <w:rsid w:val="00D45F62"/>
    <w:rsid w:val="00D5110F"/>
    <w:rsid w:val="00D513E0"/>
    <w:rsid w:val="00D5168F"/>
    <w:rsid w:val="00D524BC"/>
    <w:rsid w:val="00D546FB"/>
    <w:rsid w:val="00D6135D"/>
    <w:rsid w:val="00D61844"/>
    <w:rsid w:val="00D61AA5"/>
    <w:rsid w:val="00D652FC"/>
    <w:rsid w:val="00D71699"/>
    <w:rsid w:val="00D73493"/>
    <w:rsid w:val="00D74098"/>
    <w:rsid w:val="00D74264"/>
    <w:rsid w:val="00D749C9"/>
    <w:rsid w:val="00D74DEF"/>
    <w:rsid w:val="00D777C4"/>
    <w:rsid w:val="00D81C1F"/>
    <w:rsid w:val="00D83636"/>
    <w:rsid w:val="00D85F98"/>
    <w:rsid w:val="00D869C3"/>
    <w:rsid w:val="00D905D5"/>
    <w:rsid w:val="00D91AE1"/>
    <w:rsid w:val="00DA4689"/>
    <w:rsid w:val="00DA474C"/>
    <w:rsid w:val="00DA4891"/>
    <w:rsid w:val="00DA4926"/>
    <w:rsid w:val="00DA6B7D"/>
    <w:rsid w:val="00DB02C0"/>
    <w:rsid w:val="00DB0357"/>
    <w:rsid w:val="00DB2227"/>
    <w:rsid w:val="00DB23F6"/>
    <w:rsid w:val="00DB5D01"/>
    <w:rsid w:val="00DB79E4"/>
    <w:rsid w:val="00DC06A4"/>
    <w:rsid w:val="00DC2BF8"/>
    <w:rsid w:val="00DC3459"/>
    <w:rsid w:val="00DC3B22"/>
    <w:rsid w:val="00DD7636"/>
    <w:rsid w:val="00DE32E5"/>
    <w:rsid w:val="00DE3605"/>
    <w:rsid w:val="00DE3946"/>
    <w:rsid w:val="00DE44DB"/>
    <w:rsid w:val="00DE4881"/>
    <w:rsid w:val="00DE5661"/>
    <w:rsid w:val="00DF14B9"/>
    <w:rsid w:val="00DF5762"/>
    <w:rsid w:val="00DF73C4"/>
    <w:rsid w:val="00E00BB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EC2"/>
    <w:rsid w:val="00E15A03"/>
    <w:rsid w:val="00E167E1"/>
    <w:rsid w:val="00E21E8C"/>
    <w:rsid w:val="00E250B5"/>
    <w:rsid w:val="00E2708D"/>
    <w:rsid w:val="00E270E6"/>
    <w:rsid w:val="00E2770A"/>
    <w:rsid w:val="00E33737"/>
    <w:rsid w:val="00E33CD1"/>
    <w:rsid w:val="00E44250"/>
    <w:rsid w:val="00E47E96"/>
    <w:rsid w:val="00E53631"/>
    <w:rsid w:val="00E5420C"/>
    <w:rsid w:val="00E56339"/>
    <w:rsid w:val="00E56ECC"/>
    <w:rsid w:val="00E57FEE"/>
    <w:rsid w:val="00E629C3"/>
    <w:rsid w:val="00E667B4"/>
    <w:rsid w:val="00E715FD"/>
    <w:rsid w:val="00E71601"/>
    <w:rsid w:val="00E71F11"/>
    <w:rsid w:val="00E729F5"/>
    <w:rsid w:val="00E736B3"/>
    <w:rsid w:val="00E73C8D"/>
    <w:rsid w:val="00E758D8"/>
    <w:rsid w:val="00E7728D"/>
    <w:rsid w:val="00E7795C"/>
    <w:rsid w:val="00E77F48"/>
    <w:rsid w:val="00E83C37"/>
    <w:rsid w:val="00E87B8E"/>
    <w:rsid w:val="00E900D1"/>
    <w:rsid w:val="00E90673"/>
    <w:rsid w:val="00E92149"/>
    <w:rsid w:val="00E926EA"/>
    <w:rsid w:val="00E932CE"/>
    <w:rsid w:val="00E9330B"/>
    <w:rsid w:val="00E937F2"/>
    <w:rsid w:val="00E96BC6"/>
    <w:rsid w:val="00E976C6"/>
    <w:rsid w:val="00EA00F3"/>
    <w:rsid w:val="00EA07A3"/>
    <w:rsid w:val="00EA3A4B"/>
    <w:rsid w:val="00EA6C48"/>
    <w:rsid w:val="00EA71E1"/>
    <w:rsid w:val="00EB26CD"/>
    <w:rsid w:val="00EB3306"/>
    <w:rsid w:val="00EB3FB0"/>
    <w:rsid w:val="00EB4C4B"/>
    <w:rsid w:val="00EB5A09"/>
    <w:rsid w:val="00EB6E94"/>
    <w:rsid w:val="00EC1C37"/>
    <w:rsid w:val="00EC4A87"/>
    <w:rsid w:val="00EC6271"/>
    <w:rsid w:val="00ED086D"/>
    <w:rsid w:val="00ED0F0B"/>
    <w:rsid w:val="00ED2EBC"/>
    <w:rsid w:val="00ED4755"/>
    <w:rsid w:val="00ED584C"/>
    <w:rsid w:val="00ED7431"/>
    <w:rsid w:val="00EE3BFD"/>
    <w:rsid w:val="00EE5A58"/>
    <w:rsid w:val="00EE64AA"/>
    <w:rsid w:val="00EE77EC"/>
    <w:rsid w:val="00EF0CFD"/>
    <w:rsid w:val="00EF1BA6"/>
    <w:rsid w:val="00EF4866"/>
    <w:rsid w:val="00EF6DD7"/>
    <w:rsid w:val="00EF754F"/>
    <w:rsid w:val="00F004E9"/>
    <w:rsid w:val="00F0467A"/>
    <w:rsid w:val="00F0649C"/>
    <w:rsid w:val="00F20E61"/>
    <w:rsid w:val="00F2303B"/>
    <w:rsid w:val="00F238B5"/>
    <w:rsid w:val="00F257D4"/>
    <w:rsid w:val="00F25A44"/>
    <w:rsid w:val="00F26811"/>
    <w:rsid w:val="00F26C08"/>
    <w:rsid w:val="00F336CC"/>
    <w:rsid w:val="00F33EFF"/>
    <w:rsid w:val="00F34FD9"/>
    <w:rsid w:val="00F36121"/>
    <w:rsid w:val="00F36EA1"/>
    <w:rsid w:val="00F3743A"/>
    <w:rsid w:val="00F37FA5"/>
    <w:rsid w:val="00F40265"/>
    <w:rsid w:val="00F42DF2"/>
    <w:rsid w:val="00F44415"/>
    <w:rsid w:val="00F44691"/>
    <w:rsid w:val="00F45123"/>
    <w:rsid w:val="00F4578F"/>
    <w:rsid w:val="00F46149"/>
    <w:rsid w:val="00F46952"/>
    <w:rsid w:val="00F50086"/>
    <w:rsid w:val="00F52603"/>
    <w:rsid w:val="00F52760"/>
    <w:rsid w:val="00F60A53"/>
    <w:rsid w:val="00F61230"/>
    <w:rsid w:val="00F62F45"/>
    <w:rsid w:val="00F6309B"/>
    <w:rsid w:val="00F64615"/>
    <w:rsid w:val="00F65669"/>
    <w:rsid w:val="00F701B3"/>
    <w:rsid w:val="00F71993"/>
    <w:rsid w:val="00F72BBB"/>
    <w:rsid w:val="00F735E8"/>
    <w:rsid w:val="00F739F2"/>
    <w:rsid w:val="00F73CCF"/>
    <w:rsid w:val="00F74FE5"/>
    <w:rsid w:val="00F750B6"/>
    <w:rsid w:val="00F76B07"/>
    <w:rsid w:val="00F80AE3"/>
    <w:rsid w:val="00F8360A"/>
    <w:rsid w:val="00F849DF"/>
    <w:rsid w:val="00F8600D"/>
    <w:rsid w:val="00F91D8A"/>
    <w:rsid w:val="00F93915"/>
    <w:rsid w:val="00F94304"/>
    <w:rsid w:val="00F943F5"/>
    <w:rsid w:val="00F94501"/>
    <w:rsid w:val="00F94AF9"/>
    <w:rsid w:val="00F957AF"/>
    <w:rsid w:val="00F96174"/>
    <w:rsid w:val="00FA08E4"/>
    <w:rsid w:val="00FA2515"/>
    <w:rsid w:val="00FA269B"/>
    <w:rsid w:val="00FA340A"/>
    <w:rsid w:val="00FA4F9B"/>
    <w:rsid w:val="00FA5DAA"/>
    <w:rsid w:val="00FA710D"/>
    <w:rsid w:val="00FB0D18"/>
    <w:rsid w:val="00FB1517"/>
    <w:rsid w:val="00FB390F"/>
    <w:rsid w:val="00FB4712"/>
    <w:rsid w:val="00FB582F"/>
    <w:rsid w:val="00FB6B5D"/>
    <w:rsid w:val="00FC082C"/>
    <w:rsid w:val="00FC2426"/>
    <w:rsid w:val="00FC3210"/>
    <w:rsid w:val="00FC3827"/>
    <w:rsid w:val="00FC3AF0"/>
    <w:rsid w:val="00FC3BFD"/>
    <w:rsid w:val="00FC4B9F"/>
    <w:rsid w:val="00FC4DD0"/>
    <w:rsid w:val="00FC6110"/>
    <w:rsid w:val="00FC6196"/>
    <w:rsid w:val="00FC654F"/>
    <w:rsid w:val="00FC77AF"/>
    <w:rsid w:val="00FC79C6"/>
    <w:rsid w:val="00FD00C2"/>
    <w:rsid w:val="00FD1226"/>
    <w:rsid w:val="00FD6B02"/>
    <w:rsid w:val="00FE0B7F"/>
    <w:rsid w:val="00FE0F32"/>
    <w:rsid w:val="00FE11DF"/>
    <w:rsid w:val="00FE2E9C"/>
    <w:rsid w:val="00FE62AA"/>
    <w:rsid w:val="00FF047B"/>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EA60E4"/>
  <w15:docId w15:val="{594DD133-0B83-4D94-8880-F04E7D744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uiPriority w:val="39"/>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uiPriority w:val="99"/>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aliases w:val="List Level 1,PRI Bullets,Bullet Paragraph,References,маркированный,Main numbered paragraph,Question"/>
    <w:basedOn w:val="Normln"/>
    <w:link w:val="OdstavecseseznamemChar"/>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 w:type="paragraph" w:customStyle="1" w:styleId="paragraph">
    <w:name w:val="paragraph"/>
    <w:basedOn w:val="Normln"/>
    <w:rsid w:val="006B6F61"/>
    <w:pPr>
      <w:spacing w:before="100" w:beforeAutospacing="1" w:after="100" w:afterAutospacing="1" w:line="240" w:lineRule="auto"/>
      <w:jc w:val="left"/>
    </w:pPr>
    <w:rPr>
      <w:rFonts w:ascii="Times New Roman" w:hAnsi="Times New Roman" w:cs="Times New Roman"/>
      <w:sz w:val="24"/>
      <w:szCs w:val="24"/>
      <w:lang w:val="en-GB" w:eastAsia="zh-CN"/>
    </w:rPr>
  </w:style>
  <w:style w:type="character" w:customStyle="1" w:styleId="normaltextrun">
    <w:name w:val="normaltextrun"/>
    <w:basedOn w:val="Standardnpsmoodstavce"/>
    <w:rsid w:val="006B6F61"/>
  </w:style>
  <w:style w:type="character" w:customStyle="1" w:styleId="eop">
    <w:name w:val="eop"/>
    <w:basedOn w:val="Standardnpsmoodstavce"/>
    <w:rsid w:val="006B6F61"/>
  </w:style>
  <w:style w:type="paragraph" w:customStyle="1" w:styleId="xmsonormal">
    <w:name w:val="x_msonormal"/>
    <w:basedOn w:val="Normln"/>
    <w:rsid w:val="00A82114"/>
    <w:pPr>
      <w:spacing w:before="0" w:line="240" w:lineRule="auto"/>
      <w:jc w:val="left"/>
    </w:pPr>
    <w:rPr>
      <w:rFonts w:ascii="Calibri" w:eastAsia="Gulim" w:hAnsi="Calibri" w:cs="Calibri"/>
      <w:sz w:val="22"/>
      <w:szCs w:val="22"/>
      <w:lang w:val="en-GB" w:eastAsia="ko-KR"/>
    </w:rPr>
  </w:style>
  <w:style w:type="character" w:customStyle="1" w:styleId="OdstavecseseznamemChar">
    <w:name w:val="Odstavec se seznamem Char"/>
    <w:aliases w:val="List Level 1 Char,PRI Bullets Char,Bullet Paragraph Char,References Char,маркированный Char,Main numbered paragraph Char,Question Char"/>
    <w:link w:val="Odstavecseseznamem"/>
    <w:uiPriority w:val="34"/>
    <w:locked/>
    <w:rsid w:val="00A82114"/>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0215">
      <w:bodyDiv w:val="1"/>
      <w:marLeft w:val="0"/>
      <w:marRight w:val="0"/>
      <w:marTop w:val="0"/>
      <w:marBottom w:val="0"/>
      <w:divBdr>
        <w:top w:val="none" w:sz="0" w:space="0" w:color="auto"/>
        <w:left w:val="none" w:sz="0" w:space="0" w:color="auto"/>
        <w:bottom w:val="none" w:sz="0" w:space="0" w:color="auto"/>
        <w:right w:val="none" w:sz="0" w:space="0" w:color="auto"/>
      </w:divBdr>
    </w:div>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229002302">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515775441">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09049184">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814950803">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093746309">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259825597">
      <w:bodyDiv w:val="1"/>
      <w:marLeft w:val="0"/>
      <w:marRight w:val="0"/>
      <w:marTop w:val="0"/>
      <w:marBottom w:val="0"/>
      <w:divBdr>
        <w:top w:val="none" w:sz="0" w:space="0" w:color="auto"/>
        <w:left w:val="none" w:sz="0" w:space="0" w:color="auto"/>
        <w:bottom w:val="none" w:sz="0" w:space="0" w:color="auto"/>
        <w:right w:val="none" w:sz="0" w:space="0" w:color="auto"/>
      </w:divBdr>
    </w:div>
    <w:div w:id="1284263836">
      <w:bodyDiv w:val="1"/>
      <w:marLeft w:val="0"/>
      <w:marRight w:val="0"/>
      <w:marTop w:val="0"/>
      <w:marBottom w:val="0"/>
      <w:divBdr>
        <w:top w:val="none" w:sz="0" w:space="0" w:color="auto"/>
        <w:left w:val="none" w:sz="0" w:space="0" w:color="auto"/>
        <w:bottom w:val="none" w:sz="0" w:space="0" w:color="auto"/>
        <w:right w:val="none" w:sz="0" w:space="0" w:color="auto"/>
      </w:divBdr>
    </w:div>
    <w:div w:id="1413551838">
      <w:bodyDiv w:val="1"/>
      <w:marLeft w:val="0"/>
      <w:marRight w:val="0"/>
      <w:marTop w:val="0"/>
      <w:marBottom w:val="0"/>
      <w:divBdr>
        <w:top w:val="none" w:sz="0" w:space="0" w:color="auto"/>
        <w:left w:val="none" w:sz="0" w:space="0" w:color="auto"/>
        <w:bottom w:val="none" w:sz="0" w:space="0" w:color="auto"/>
        <w:right w:val="none" w:sz="0" w:space="0" w:color="auto"/>
      </w:divBdr>
    </w:div>
    <w:div w:id="1429038161">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4876425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794322948">
      <w:bodyDiv w:val="1"/>
      <w:marLeft w:val="0"/>
      <w:marRight w:val="0"/>
      <w:marTop w:val="0"/>
      <w:marBottom w:val="0"/>
      <w:divBdr>
        <w:top w:val="none" w:sz="0" w:space="0" w:color="auto"/>
        <w:left w:val="none" w:sz="0" w:space="0" w:color="auto"/>
        <w:bottom w:val="none" w:sz="0" w:space="0" w:color="auto"/>
        <w:right w:val="none" w:sz="0" w:space="0" w:color="auto"/>
      </w:divBdr>
    </w:div>
    <w:div w:id="1817381830">
      <w:bodyDiv w:val="1"/>
      <w:marLeft w:val="0"/>
      <w:marRight w:val="0"/>
      <w:marTop w:val="0"/>
      <w:marBottom w:val="0"/>
      <w:divBdr>
        <w:top w:val="none" w:sz="0" w:space="0" w:color="auto"/>
        <w:left w:val="none" w:sz="0" w:space="0" w:color="auto"/>
        <w:bottom w:val="none" w:sz="0" w:space="0" w:color="auto"/>
        <w:right w:val="none" w:sz="0" w:space="0" w:color="auto"/>
      </w:divBdr>
    </w:div>
    <w:div w:id="1822455272">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 w:id="205738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delity.cz/" TargetMode="External"/><Relationship Id="rId5" Type="http://schemas.openxmlformats.org/officeDocument/2006/relationships/numbering" Target="numbering.xml"/><Relationship Id="rId15" Type="http://schemas.openxmlformats.org/officeDocument/2006/relationships/hyperlink" Target="mailto:eliska.krohova@crestcom.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2259DBD5BFD70458D4F32D577691991" ma:contentTypeVersion="15" ma:contentTypeDescription="Vytvoří nový dokument" ma:contentTypeScope="" ma:versionID="73615eaf32a54359c8aceb46b6aad986">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6ca641cb97f4cb79c7e1215453f7bbf5"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Props1.xml><?xml version="1.0" encoding="utf-8"?>
<ds:datastoreItem xmlns:ds="http://schemas.openxmlformats.org/officeDocument/2006/customXml" ds:itemID="{6FF2901F-9299-4A9A-817D-EAA7280ADC3F}">
  <ds:schemaRefs>
    <ds:schemaRef ds:uri="http://schemas.microsoft.com/sharepoint/v3/contenttype/forms"/>
  </ds:schemaRefs>
</ds:datastoreItem>
</file>

<file path=customXml/itemProps2.xml><?xml version="1.0" encoding="utf-8"?>
<ds:datastoreItem xmlns:ds="http://schemas.openxmlformats.org/officeDocument/2006/customXml" ds:itemID="{75A24FB6-D2B6-4A79-8EEF-6BF208DFC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E59371-464E-462D-AA79-EE80735018D8}">
  <ds:schemaRefs>
    <ds:schemaRef ds:uri="http://schemas.openxmlformats.org/officeDocument/2006/bibliography"/>
  </ds:schemaRefs>
</ds:datastoreItem>
</file>

<file path=customXml/itemProps4.xml><?xml version="1.0" encoding="utf-8"?>
<ds:datastoreItem xmlns:ds="http://schemas.openxmlformats.org/officeDocument/2006/customXml" ds:itemID="{2F663A9B-5F35-4DB3-B406-110DCFBB6C4E}">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1541</Words>
  <Characters>9094</Characters>
  <Application>Microsoft Office Word</Application>
  <DocSecurity>0</DocSecurity>
  <Lines>75</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10614</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Gabriela Hampejsová</cp:lastModifiedBy>
  <cp:revision>3</cp:revision>
  <cp:lastPrinted>2015-11-30T16:29:00Z</cp:lastPrinted>
  <dcterms:created xsi:type="dcterms:W3CDTF">2023-05-24T13:30:00Z</dcterms:created>
  <dcterms:modified xsi:type="dcterms:W3CDTF">2023-05-24T13:31:00Z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SIP_Label_be873328-34e0-4f6c-84cb-dd757c63c1a0_Enabled">
    <vt:lpwstr>true</vt:lpwstr>
  </property>
  <property fmtid="{D5CDD505-2E9C-101B-9397-08002B2CF9AE}" pid="4" name="MSIP_Label_be873328-34e0-4f6c-84cb-dd757c63c1a0_SetDate">
    <vt:lpwstr>2023-03-20T14:00:05Z</vt:lpwstr>
  </property>
  <property fmtid="{D5CDD505-2E9C-101B-9397-08002B2CF9AE}" pid="5" name="MSIP_Label_be873328-34e0-4f6c-84cb-dd757c63c1a0_Method">
    <vt:lpwstr>Privileged</vt:lpwstr>
  </property>
  <property fmtid="{D5CDD505-2E9C-101B-9397-08002B2CF9AE}" pid="6" name="MSIP_Label_be873328-34e0-4f6c-84cb-dd757c63c1a0_Name">
    <vt:lpwstr>FIL-Internal</vt:lpwstr>
  </property>
  <property fmtid="{D5CDD505-2E9C-101B-9397-08002B2CF9AE}" pid="7" name="MSIP_Label_be873328-34e0-4f6c-84cb-dd757c63c1a0_SiteId">
    <vt:lpwstr>6b94db52-3791-432c-b97e-871411cd202e</vt:lpwstr>
  </property>
  <property fmtid="{D5CDD505-2E9C-101B-9397-08002B2CF9AE}" pid="8" name="MSIP_Label_be873328-34e0-4f6c-84cb-dd757c63c1a0_ActionId">
    <vt:lpwstr>8add6277-4d5f-4a76-983e-75d9da0c44e6</vt:lpwstr>
  </property>
  <property fmtid="{D5CDD505-2E9C-101B-9397-08002B2CF9AE}" pid="9" name="MSIP_Label_be873328-34e0-4f6c-84cb-dd757c63c1a0_ContentBits">
    <vt:lpwstr>0</vt:lpwstr>
  </property>
</Properties>
</file>